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3"/>
        <w:tblW w:w="2381" w:type="dxa"/>
        <w:jc w:val="right"/>
        <w:tblInd w:w="0" w:type="dxa"/>
        <w:tblLayout w:type="fixed"/>
        <w:tblCellMar>
          <w:top w:w="0" w:type="dxa"/>
          <w:left w:w="108" w:type="dxa"/>
          <w:bottom w:w="0" w:type="dxa"/>
          <w:right w:w="0" w:type="dxa"/>
        </w:tblCellMar>
      </w:tblPr>
      <w:tblGrid>
        <w:gridCol w:w="2381"/>
      </w:tblGrid>
      <w:tr>
        <w:tblPrEx>
          <w:tblLayout w:type="fixed"/>
          <w:tblCellMar>
            <w:top w:w="0" w:type="dxa"/>
            <w:left w:w="108" w:type="dxa"/>
            <w:bottom w:w="0" w:type="dxa"/>
            <w:right w:w="0" w:type="dxa"/>
          </w:tblCellMar>
        </w:tblPrEx>
        <w:trPr>
          <w:trHeight w:val="397" w:hRule="atLeast"/>
          <w:jc w:val="right"/>
        </w:trPr>
        <w:tc>
          <w:tcPr>
            <w:tcW w:w="2381" w:type="dxa"/>
            <w:tcBorders>
              <w:top w:val="dashSmallGap" w:color="auto" w:sz="4" w:space="0"/>
              <w:left w:val="dashSmallGap" w:color="auto" w:sz="4" w:space="0"/>
              <w:bottom w:val="dashSmallGap" w:color="auto" w:sz="4" w:space="0"/>
              <w:right w:val="dashSmallGap" w:color="auto" w:sz="4" w:space="0"/>
            </w:tcBorders>
            <w:tcMar>
              <w:right w:w="0" w:type="dxa"/>
            </w:tcMar>
            <w:vAlign w:val="center"/>
          </w:tcPr>
          <w:p>
            <w:pPr>
              <w:spacing w:line="360" w:lineRule="exact"/>
              <w:rPr>
                <w:rFonts w:ascii="黑体" w:hAnsi="黑体" w:eastAsia="黑体" w:cs="Times New Roman"/>
                <w:kern w:val="0"/>
                <w:sz w:val="21"/>
                <w:szCs w:val="21"/>
              </w:rPr>
            </w:pPr>
            <w:r>
              <w:rPr>
                <w:rFonts w:ascii="黑体" w:hAnsi="黑体" w:eastAsia="黑体" w:cs="Times New Roman"/>
                <w:bCs/>
                <w:kern w:val="0"/>
                <w:sz w:val="21"/>
                <w:szCs w:val="21"/>
              </w:rPr>
              <w:br w:type="page"/>
            </w:r>
            <w:r>
              <w:rPr>
                <w:rFonts w:ascii="黑体" w:hAnsi="黑体" w:eastAsia="黑体" w:cs="Times New Roman"/>
                <w:kern w:val="0"/>
                <w:sz w:val="21"/>
                <w:szCs w:val="21"/>
              </w:rPr>
              <w:t>编　　号：SDKS0286</w:t>
            </w:r>
            <w:r>
              <w:rPr>
                <w:rFonts w:hint="eastAsia" w:ascii="黑体" w:hAnsi="黑体" w:eastAsia="黑体" w:cs="Times New Roman"/>
                <w:kern w:val="0"/>
                <w:sz w:val="21"/>
                <w:szCs w:val="21"/>
              </w:rPr>
              <w:t>02</w:t>
            </w:r>
          </w:p>
        </w:tc>
      </w:tr>
      <w:tr>
        <w:tblPrEx>
          <w:tblLayout w:type="fixed"/>
          <w:tblCellMar>
            <w:top w:w="0" w:type="dxa"/>
            <w:left w:w="108" w:type="dxa"/>
            <w:bottom w:w="0" w:type="dxa"/>
            <w:right w:w="0" w:type="dxa"/>
          </w:tblCellMar>
        </w:tblPrEx>
        <w:trPr>
          <w:trHeight w:val="397" w:hRule="atLeast"/>
          <w:jc w:val="right"/>
        </w:trPr>
        <w:tc>
          <w:tcPr>
            <w:tcW w:w="2381" w:type="dxa"/>
            <w:tcBorders>
              <w:top w:val="dashSmallGap" w:color="auto" w:sz="4" w:space="0"/>
              <w:left w:val="dashSmallGap" w:color="auto" w:sz="4" w:space="0"/>
              <w:bottom w:val="dashSmallGap" w:color="auto" w:sz="4" w:space="0"/>
              <w:right w:val="dashSmallGap" w:color="auto" w:sz="4" w:space="0"/>
            </w:tcBorders>
            <w:tcMar>
              <w:right w:w="0" w:type="dxa"/>
            </w:tcMar>
            <w:vAlign w:val="center"/>
          </w:tcPr>
          <w:p>
            <w:pPr>
              <w:spacing w:line="360" w:lineRule="exact"/>
              <w:rPr>
                <w:rFonts w:ascii="黑体" w:hAnsi="黑体" w:eastAsia="黑体" w:cs="Times New Roman"/>
                <w:kern w:val="0"/>
                <w:sz w:val="21"/>
                <w:szCs w:val="21"/>
              </w:rPr>
            </w:pPr>
            <w:r>
              <w:rPr>
                <w:rFonts w:hint="eastAsia" w:ascii="黑体" w:hAnsi="黑体" w:eastAsia="黑体" w:cs="Times New Roman"/>
                <w:kern w:val="0"/>
                <w:sz w:val="21"/>
                <w:szCs w:val="21"/>
              </w:rPr>
              <w:t>保护等级：企业</w:t>
            </w:r>
            <w:r>
              <w:rPr>
                <w:rFonts w:ascii="黑体" w:hAnsi="黑体" w:eastAsia="黑体" w:cs="Times New Roman"/>
                <w:kern w:val="0"/>
                <w:sz w:val="21"/>
                <w:szCs w:val="21"/>
              </w:rPr>
              <w:t>C</w:t>
            </w:r>
            <w:r>
              <w:rPr>
                <w:rFonts w:hint="eastAsia" w:ascii="黑体" w:hAnsi="黑体" w:eastAsia="黑体" w:cs="Times New Roman"/>
                <w:kern w:val="0"/>
                <w:sz w:val="21"/>
                <w:szCs w:val="21"/>
              </w:rPr>
              <w:t>级</w:t>
            </w:r>
          </w:p>
        </w:tc>
      </w:tr>
      <w:tr>
        <w:tblPrEx>
          <w:tblLayout w:type="fixed"/>
          <w:tblCellMar>
            <w:top w:w="0" w:type="dxa"/>
            <w:left w:w="108" w:type="dxa"/>
            <w:bottom w:w="0" w:type="dxa"/>
            <w:right w:w="0" w:type="dxa"/>
          </w:tblCellMar>
        </w:tblPrEx>
        <w:trPr>
          <w:trHeight w:val="397" w:hRule="atLeast"/>
          <w:jc w:val="right"/>
        </w:trPr>
        <w:tc>
          <w:tcPr>
            <w:tcW w:w="2381" w:type="dxa"/>
            <w:tcBorders>
              <w:top w:val="dashSmallGap" w:color="auto" w:sz="4" w:space="0"/>
            </w:tcBorders>
            <w:tcMar>
              <w:right w:w="0" w:type="dxa"/>
            </w:tcMar>
            <w:vAlign w:val="center"/>
          </w:tcPr>
          <w:p>
            <w:pPr>
              <w:spacing w:line="360" w:lineRule="exact"/>
              <w:jc w:val="center"/>
              <w:rPr>
                <w:rFonts w:ascii="黑体" w:hAnsi="黑体" w:eastAsia="黑体" w:cs="Times New Roman"/>
                <w:kern w:val="0"/>
                <w:sz w:val="21"/>
                <w:szCs w:val="21"/>
              </w:rPr>
            </w:pPr>
            <w:r>
              <w:rPr>
                <w:rFonts w:hint="eastAsia" w:ascii="黑体" w:hAnsi="黑体" w:eastAsia="黑体" w:cs="Times New Roman"/>
                <w:kern w:val="0"/>
                <w:sz w:val="21"/>
                <w:szCs w:val="21"/>
              </w:rPr>
              <w:t>第1版</w:t>
            </w:r>
            <w:r>
              <w:rPr>
                <w:rFonts w:ascii="黑体" w:hAnsi="黑体" w:eastAsia="黑体" w:cs="Times New Roman"/>
                <w:kern w:val="0"/>
                <w:sz w:val="21"/>
                <w:szCs w:val="21"/>
              </w:rPr>
              <w:t xml:space="preserve"> 202</w:t>
            </w:r>
            <w:r>
              <w:rPr>
                <w:rFonts w:hint="eastAsia" w:ascii="黑体" w:hAnsi="黑体" w:eastAsia="黑体" w:cs="Times New Roman"/>
                <w:kern w:val="0"/>
                <w:sz w:val="21"/>
                <w:szCs w:val="21"/>
              </w:rPr>
              <w:t>1</w:t>
            </w:r>
            <w:r>
              <w:rPr>
                <w:rFonts w:ascii="黑体" w:hAnsi="黑体" w:eastAsia="黑体" w:cs="Times New Roman"/>
                <w:kern w:val="0"/>
                <w:sz w:val="21"/>
                <w:szCs w:val="21"/>
              </w:rPr>
              <w:t>-</w:t>
            </w:r>
            <w:r>
              <w:rPr>
                <w:rFonts w:hint="eastAsia" w:ascii="黑体" w:hAnsi="黑体" w:eastAsia="黑体" w:cs="Times New Roman"/>
                <w:kern w:val="0"/>
                <w:sz w:val="21"/>
                <w:szCs w:val="21"/>
              </w:rPr>
              <w:t>11</w:t>
            </w:r>
          </w:p>
        </w:tc>
      </w:tr>
    </w:tbl>
    <w:p>
      <w:pPr>
        <w:pStyle w:val="43"/>
        <w:ind w:firstLine="560"/>
      </w:pPr>
    </w:p>
    <w:p>
      <w:pPr>
        <w:spacing w:line="760" w:lineRule="exact"/>
        <w:jc w:val="center"/>
        <w:rPr>
          <w:rFonts w:ascii="华文新魏" w:hAnsi="Times New Roman" w:eastAsia="华文新魏" w:cs="Times New Roman"/>
          <w:sz w:val="52"/>
          <w:szCs w:val="52"/>
        </w:rPr>
      </w:pPr>
      <w:r>
        <w:rPr>
          <w:rFonts w:hint="eastAsia" w:ascii="华文新魏" w:hAnsi="Times New Roman" w:eastAsia="华文新魏" w:cs="Times New Roman"/>
          <w:sz w:val="52"/>
          <w:szCs w:val="52"/>
        </w:rPr>
        <w:t>楚雄州元谋县大中型水利水电工程</w:t>
      </w:r>
    </w:p>
    <w:p>
      <w:pPr>
        <w:spacing w:line="760" w:lineRule="exact"/>
        <w:jc w:val="center"/>
        <w:rPr>
          <w:rFonts w:ascii="华文新魏" w:hAnsi="Times New Roman" w:eastAsia="华文新魏" w:cs="Times New Roman"/>
          <w:spacing w:val="-20"/>
          <w:w w:val="95"/>
          <w:sz w:val="52"/>
          <w:szCs w:val="52"/>
        </w:rPr>
      </w:pPr>
      <w:r>
        <w:rPr>
          <w:rFonts w:hint="eastAsia" w:ascii="华文新魏" w:hAnsi="Times New Roman" w:eastAsia="华文新魏" w:cs="Times New Roman"/>
          <w:spacing w:val="-20"/>
          <w:w w:val="95"/>
          <w:sz w:val="52"/>
          <w:szCs w:val="52"/>
        </w:rPr>
        <w:t>移民搬迁安置和后期扶持“十四五”规划报告</w:t>
      </w:r>
    </w:p>
    <w:p>
      <w:pPr>
        <w:spacing w:line="760" w:lineRule="exact"/>
        <w:jc w:val="center"/>
        <w:rPr>
          <w:rFonts w:ascii="Times New Roman" w:hAnsi="Times New Roman" w:eastAsia="华文新魏" w:cs="Times New Roman"/>
          <w:sz w:val="52"/>
          <w:szCs w:val="52"/>
        </w:rPr>
      </w:pPr>
      <w:r>
        <w:rPr>
          <w:rFonts w:hint="eastAsia" w:hAnsi="Times New Roman" w:cs="Times New Roman"/>
          <w:sz w:val="52"/>
          <w:szCs w:val="52"/>
        </w:rPr>
        <w:t>（</w:t>
      </w:r>
      <w:r>
        <w:rPr>
          <w:rFonts w:ascii="Times New Roman" w:hAnsi="Times New Roman" w:eastAsia="华文新魏" w:cs="Times New Roman"/>
          <w:sz w:val="52"/>
          <w:szCs w:val="52"/>
        </w:rPr>
        <w:t>2021～2025</w:t>
      </w:r>
      <w:r>
        <w:rPr>
          <w:rFonts w:hint="eastAsia" w:hAnsi="Times New Roman" w:cs="Times New Roman"/>
          <w:sz w:val="52"/>
          <w:szCs w:val="52"/>
        </w:rPr>
        <w:t>）</w:t>
      </w:r>
    </w:p>
    <w:p>
      <w:pPr>
        <w:pStyle w:val="43"/>
        <w:ind w:firstLine="560"/>
      </w:pPr>
    </w:p>
    <w:p>
      <w:pPr>
        <w:pStyle w:val="43"/>
        <w:ind w:firstLine="560"/>
      </w:pPr>
    </w:p>
    <w:p>
      <w:pPr>
        <w:pStyle w:val="43"/>
        <w:ind w:firstLine="560"/>
      </w:pPr>
    </w:p>
    <w:p>
      <w:pPr>
        <w:pStyle w:val="43"/>
        <w:ind w:firstLine="560"/>
      </w:pPr>
    </w:p>
    <w:p>
      <w:pPr>
        <w:pStyle w:val="43"/>
        <w:ind w:firstLine="560"/>
      </w:pPr>
    </w:p>
    <w:p>
      <w:pPr>
        <w:pStyle w:val="43"/>
        <w:ind w:firstLine="560"/>
      </w:pPr>
    </w:p>
    <w:p>
      <w:pPr>
        <w:pStyle w:val="43"/>
        <w:ind w:firstLine="560"/>
      </w:pPr>
    </w:p>
    <w:p>
      <w:pPr>
        <w:pStyle w:val="43"/>
        <w:ind w:firstLine="560"/>
      </w:pPr>
    </w:p>
    <w:p>
      <w:pPr>
        <w:pStyle w:val="43"/>
        <w:ind w:firstLine="560"/>
      </w:pPr>
    </w:p>
    <w:p>
      <w:pPr>
        <w:pStyle w:val="43"/>
        <w:ind w:firstLine="720"/>
        <w:rPr>
          <w:rFonts w:eastAsia="华文行楷"/>
          <w:bCs/>
          <w:sz w:val="36"/>
          <w:szCs w:val="36"/>
        </w:rPr>
      </w:pPr>
    </w:p>
    <w:p>
      <w:pPr>
        <w:pStyle w:val="43"/>
        <w:ind w:firstLine="720"/>
        <w:rPr>
          <w:rFonts w:eastAsia="华文行楷"/>
          <w:bCs/>
          <w:sz w:val="36"/>
          <w:szCs w:val="36"/>
        </w:rPr>
      </w:pPr>
    </w:p>
    <w:p>
      <w:pPr>
        <w:pStyle w:val="43"/>
        <w:ind w:firstLine="720"/>
        <w:rPr>
          <w:rFonts w:eastAsia="华文行楷"/>
          <w:bCs/>
          <w:sz w:val="36"/>
          <w:szCs w:val="36"/>
        </w:rPr>
      </w:pPr>
    </w:p>
    <w:p>
      <w:pPr>
        <w:pStyle w:val="43"/>
        <w:spacing w:line="240" w:lineRule="exact"/>
        <w:ind w:firstLine="720"/>
        <w:rPr>
          <w:rFonts w:eastAsia="华文行楷"/>
          <w:bCs/>
          <w:sz w:val="36"/>
          <w:szCs w:val="36"/>
        </w:rPr>
      </w:pPr>
    </w:p>
    <w:p>
      <w:pPr>
        <w:pStyle w:val="43"/>
        <w:ind w:firstLine="720"/>
        <w:rPr>
          <w:rFonts w:eastAsia="华文行楷"/>
          <w:bCs/>
          <w:sz w:val="36"/>
          <w:szCs w:val="36"/>
        </w:rPr>
      </w:pPr>
    </w:p>
    <w:p>
      <w:pPr>
        <w:jc w:val="center"/>
        <w:rPr>
          <w:rFonts w:ascii="方正魏碑_GBK" w:hAnsi="黑体" w:eastAsia="方正魏碑_GBK"/>
          <w:sz w:val="40"/>
          <w:szCs w:val="40"/>
        </w:rPr>
      </w:pPr>
      <w:r>
        <w:rPr>
          <w:rFonts w:ascii="方正魏碑_GBK" w:hAnsi="黑体" w:eastAsia="方正魏碑_GBK"/>
          <w:sz w:val="40"/>
          <w:szCs w:val="40"/>
        </w:rPr>
        <w:drawing>
          <wp:inline distT="0" distB="0" distL="0" distR="0">
            <wp:extent cx="4715510" cy="45212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15735" cy="452613"/>
                    </a:xfrm>
                    <a:prstGeom prst="rect">
                      <a:avLst/>
                    </a:prstGeom>
                  </pic:spPr>
                </pic:pic>
              </a:graphicData>
            </a:graphic>
          </wp:inline>
        </w:drawing>
      </w:r>
    </w:p>
    <w:p>
      <w:pPr>
        <w:spacing w:line="560" w:lineRule="exact"/>
        <w:jc w:val="center"/>
      </w:pPr>
      <w:r>
        <w:rPr>
          <w:rFonts w:hint="eastAsia" w:ascii="方正魏碑_GBK" w:hAnsi="黑体" w:eastAsia="方正魏碑_GBK"/>
          <w:sz w:val="40"/>
          <w:szCs w:val="40"/>
        </w:rPr>
        <w:t>二</w:t>
      </w:r>
      <w:r>
        <w:rPr>
          <w:rFonts w:hint="eastAsia" w:ascii="方正魏碑_GBK" w:hAnsi="黑体" w:eastAsia="方正魏碑_GBK"/>
          <w:b/>
          <w:sz w:val="40"/>
          <w:szCs w:val="40"/>
        </w:rPr>
        <w:t>○二一</w:t>
      </w:r>
      <w:r>
        <w:rPr>
          <w:rFonts w:hint="eastAsia" w:ascii="方正魏碑_GBK" w:hAnsi="黑体" w:eastAsia="方正魏碑_GBK"/>
          <w:sz w:val="40"/>
          <w:szCs w:val="40"/>
        </w:rPr>
        <w:t>年十一月</w:t>
      </w:r>
    </w:p>
    <w:p>
      <w:pPr>
        <w:spacing w:line="760" w:lineRule="exact"/>
        <w:jc w:val="center"/>
        <w:rPr>
          <w:rFonts w:ascii="华文新魏" w:hAnsi="Times New Roman" w:eastAsia="华文新魏" w:cs="Times New Roman"/>
          <w:sz w:val="52"/>
          <w:szCs w:val="52"/>
        </w:rPr>
      </w:pPr>
      <w:r>
        <w:rPr>
          <w:rFonts w:hint="eastAsia" w:ascii="华文新魏" w:hAnsi="Times New Roman" w:eastAsia="华文新魏" w:cs="Times New Roman"/>
          <w:sz w:val="52"/>
          <w:szCs w:val="52"/>
        </w:rPr>
        <w:t>楚雄州元谋县大中型水利水电工程</w:t>
      </w:r>
    </w:p>
    <w:p>
      <w:pPr>
        <w:spacing w:line="760" w:lineRule="exact"/>
        <w:jc w:val="center"/>
        <w:rPr>
          <w:rFonts w:ascii="华文新魏" w:hAnsi="Times New Roman" w:eastAsia="华文新魏" w:cs="Times New Roman"/>
          <w:spacing w:val="-20"/>
          <w:w w:val="95"/>
          <w:sz w:val="52"/>
          <w:szCs w:val="52"/>
        </w:rPr>
      </w:pPr>
      <w:r>
        <w:rPr>
          <w:rFonts w:hint="eastAsia" w:ascii="华文新魏" w:hAnsi="Times New Roman" w:eastAsia="华文新魏" w:cs="Times New Roman"/>
          <w:spacing w:val="-20"/>
          <w:w w:val="95"/>
          <w:sz w:val="52"/>
          <w:szCs w:val="52"/>
        </w:rPr>
        <w:t>移民搬迁安置和后期扶持“十四五”规划报告</w:t>
      </w:r>
    </w:p>
    <w:p>
      <w:pPr>
        <w:spacing w:line="760" w:lineRule="exact"/>
        <w:jc w:val="center"/>
        <w:rPr>
          <w:rFonts w:ascii="Times New Roman" w:hAnsi="Times New Roman" w:eastAsia="华文新魏" w:cs="Times New Roman"/>
          <w:sz w:val="52"/>
          <w:szCs w:val="52"/>
        </w:rPr>
      </w:pPr>
      <w:r>
        <w:rPr>
          <w:rFonts w:hint="eastAsia" w:hAnsi="Times New Roman" w:cs="Times New Roman"/>
          <w:sz w:val="52"/>
          <w:szCs w:val="52"/>
        </w:rPr>
        <w:t>（</w:t>
      </w:r>
      <w:r>
        <w:rPr>
          <w:rFonts w:ascii="Times New Roman" w:hAnsi="Times New Roman" w:eastAsia="华文新魏" w:cs="Times New Roman"/>
          <w:sz w:val="52"/>
          <w:szCs w:val="52"/>
        </w:rPr>
        <w:t>2021～2025</w:t>
      </w:r>
      <w:r>
        <w:rPr>
          <w:rFonts w:hint="eastAsia" w:hAnsi="Times New Roman" w:cs="Times New Roman"/>
          <w:sz w:val="52"/>
          <w:szCs w:val="52"/>
        </w:rPr>
        <w:t>）</w:t>
      </w:r>
    </w:p>
    <w:p>
      <w:pPr>
        <w:spacing w:beforeLines="100"/>
        <w:jc w:val="center"/>
        <w:rPr>
          <w:rFonts w:ascii="楷体_GB2312" w:hAnsi="Times New Roman" w:eastAsia="楷体_GB2312" w:cs="Times New Roman"/>
          <w:sz w:val="44"/>
          <w:szCs w:val="44"/>
        </w:rPr>
      </w:pPr>
      <w:r>
        <w:rPr>
          <w:rFonts w:hint="eastAsia" w:ascii="楷体_GB2312" w:hAnsi="Times New Roman" w:eastAsia="楷体_GB2312" w:cs="Times New Roman"/>
          <w:sz w:val="44"/>
          <w:szCs w:val="44"/>
        </w:rPr>
        <w:t>（审定本）</w:t>
      </w:r>
    </w:p>
    <w:p>
      <w:pPr>
        <w:pStyle w:val="43"/>
        <w:ind w:firstLine="560"/>
      </w:pPr>
    </w:p>
    <w:p>
      <w:pPr>
        <w:pStyle w:val="43"/>
        <w:ind w:firstLine="560"/>
      </w:pPr>
    </w:p>
    <w:tbl>
      <w:tblPr>
        <w:tblStyle w:val="23"/>
        <w:tblW w:w="6102" w:type="dxa"/>
        <w:jc w:val="center"/>
        <w:tblInd w:w="0" w:type="dxa"/>
        <w:tblLayout w:type="fixed"/>
        <w:tblCellMar>
          <w:top w:w="0" w:type="dxa"/>
          <w:left w:w="108" w:type="dxa"/>
          <w:bottom w:w="0" w:type="dxa"/>
          <w:right w:w="108" w:type="dxa"/>
        </w:tblCellMar>
      </w:tblPr>
      <w:tblGrid>
        <w:gridCol w:w="6102"/>
      </w:tblGrid>
      <w:tr>
        <w:tblPrEx>
          <w:tblLayout w:type="fixed"/>
          <w:tblCellMar>
            <w:top w:w="0" w:type="dxa"/>
            <w:left w:w="108" w:type="dxa"/>
            <w:bottom w:w="0" w:type="dxa"/>
            <w:right w:w="108" w:type="dxa"/>
          </w:tblCellMar>
        </w:tblPrEx>
        <w:trPr>
          <w:jc w:val="center"/>
        </w:trPr>
        <w:tc>
          <w:tcPr>
            <w:tcW w:w="6102" w:type="dxa"/>
            <w:shd w:val="clear" w:color="auto" w:fill="auto"/>
          </w:tcPr>
          <w:p>
            <w:pPr>
              <w:spacing w:line="400" w:lineRule="exact"/>
              <w:jc w:val="center"/>
              <w:rPr>
                <w:rFonts w:eastAsia="黑体"/>
                <w:sz w:val="21"/>
                <w:szCs w:val="21"/>
              </w:rPr>
            </w:pPr>
            <w:r>
              <w:rPr>
                <w:rFonts w:hint="eastAsia" w:eastAsia="黑体"/>
                <w:sz w:val="21"/>
                <w:szCs w:val="21"/>
              </w:rPr>
              <w:t>声　明</w:t>
            </w:r>
          </w:p>
        </w:tc>
      </w:tr>
      <w:tr>
        <w:tblPrEx>
          <w:tblLayout w:type="fixed"/>
          <w:tblCellMar>
            <w:top w:w="0" w:type="dxa"/>
            <w:left w:w="108" w:type="dxa"/>
            <w:bottom w:w="0" w:type="dxa"/>
            <w:right w:w="108" w:type="dxa"/>
          </w:tblCellMar>
        </w:tblPrEx>
        <w:trPr>
          <w:jc w:val="center"/>
        </w:trPr>
        <w:tc>
          <w:tcPr>
            <w:tcW w:w="6102" w:type="dxa"/>
            <w:shd w:val="clear" w:color="auto" w:fill="auto"/>
            <w:vAlign w:val="center"/>
          </w:tcPr>
          <w:p>
            <w:pPr>
              <w:spacing w:line="400" w:lineRule="exact"/>
              <w:jc w:val="right"/>
              <w:rPr>
                <w:b/>
                <w:bCs/>
                <w:spacing w:val="4"/>
                <w:sz w:val="21"/>
                <w:szCs w:val="21"/>
              </w:rPr>
            </w:pPr>
            <w:r>
              <w:rPr>
                <w:rFonts w:hint="eastAsia" w:eastAsia="黑体"/>
                <w:spacing w:val="4"/>
                <w:sz w:val="21"/>
                <w:szCs w:val="21"/>
              </w:rPr>
              <w:t>本成果仅限于合同指定的项目使用。未经知识产权拥有者</w:t>
            </w:r>
          </w:p>
        </w:tc>
      </w:tr>
      <w:tr>
        <w:tblPrEx>
          <w:tblLayout w:type="fixed"/>
          <w:tblCellMar>
            <w:top w:w="0" w:type="dxa"/>
            <w:left w:w="108" w:type="dxa"/>
            <w:bottom w:w="0" w:type="dxa"/>
            <w:right w:w="108" w:type="dxa"/>
          </w:tblCellMar>
        </w:tblPrEx>
        <w:trPr>
          <w:jc w:val="center"/>
        </w:trPr>
        <w:tc>
          <w:tcPr>
            <w:tcW w:w="6102" w:type="dxa"/>
            <w:shd w:val="clear" w:color="auto" w:fill="auto"/>
            <w:vAlign w:val="center"/>
          </w:tcPr>
          <w:p>
            <w:pPr>
              <w:spacing w:line="400" w:lineRule="exact"/>
              <w:jc w:val="center"/>
              <w:rPr>
                <w:sz w:val="21"/>
                <w:szCs w:val="21"/>
              </w:rPr>
            </w:pPr>
            <w:r>
              <w:rPr>
                <w:rFonts w:hint="eastAsia" w:eastAsia="黑体"/>
                <w:spacing w:val="2"/>
                <w:sz w:val="21"/>
                <w:szCs w:val="21"/>
              </w:rPr>
              <w:t>书面授权，不得翻印（录）、传播或他用。对于侵权行为将保留</w:t>
            </w:r>
          </w:p>
        </w:tc>
      </w:tr>
      <w:tr>
        <w:tblPrEx>
          <w:tblLayout w:type="fixed"/>
          <w:tblCellMar>
            <w:top w:w="0" w:type="dxa"/>
            <w:left w:w="108" w:type="dxa"/>
            <w:bottom w:w="0" w:type="dxa"/>
            <w:right w:w="108" w:type="dxa"/>
          </w:tblCellMar>
        </w:tblPrEx>
        <w:trPr>
          <w:jc w:val="center"/>
        </w:trPr>
        <w:tc>
          <w:tcPr>
            <w:tcW w:w="6102" w:type="dxa"/>
            <w:shd w:val="clear" w:color="auto" w:fill="auto"/>
            <w:vAlign w:val="center"/>
          </w:tcPr>
          <w:p>
            <w:pPr>
              <w:spacing w:line="400" w:lineRule="exact"/>
              <w:rPr>
                <w:sz w:val="21"/>
                <w:szCs w:val="21"/>
              </w:rPr>
            </w:pPr>
            <w:r>
              <w:rPr>
                <w:rFonts w:hint="eastAsia" w:eastAsia="黑体"/>
                <w:spacing w:val="2"/>
                <w:sz w:val="21"/>
                <w:szCs w:val="21"/>
              </w:rPr>
              <w:t>追究其法律责任的权利。</w:t>
            </w:r>
          </w:p>
        </w:tc>
      </w:tr>
    </w:tbl>
    <w:p>
      <w:pPr>
        <w:pStyle w:val="43"/>
        <w:ind w:firstLine="560"/>
      </w:pPr>
    </w:p>
    <w:p>
      <w:pPr>
        <w:ind w:firstLine="560"/>
        <w:rPr>
          <w:rFonts w:ascii="Times New Roman" w:hAnsi="Times New Roman" w:cs="Times New Roman"/>
        </w:rPr>
      </w:pPr>
    </w:p>
    <w:p>
      <w:pPr>
        <w:ind w:firstLine="560"/>
        <w:rPr>
          <w:rFonts w:ascii="Times New Roman" w:hAnsi="Times New Roman" w:cs="Times New Roman"/>
        </w:rPr>
      </w:pPr>
    </w:p>
    <w:p>
      <w:pPr>
        <w:ind w:firstLine="560"/>
        <w:rPr>
          <w:rFonts w:ascii="Times New Roman" w:hAnsi="Times New Roman" w:cs="Times New Roman"/>
        </w:rPr>
      </w:pPr>
    </w:p>
    <w:p>
      <w:pPr>
        <w:ind w:firstLine="560"/>
        <w:rPr>
          <w:rFonts w:ascii="Times New Roman" w:hAnsi="Times New Roman" w:cs="Times New Roman"/>
        </w:rPr>
      </w:pPr>
    </w:p>
    <w:p>
      <w:pPr>
        <w:ind w:firstLine="560"/>
        <w:rPr>
          <w:rFonts w:ascii="Times New Roman" w:hAnsi="Times New Roman" w:cs="Times New Roman"/>
        </w:rPr>
      </w:pPr>
    </w:p>
    <w:p>
      <w:pPr>
        <w:ind w:firstLine="560"/>
        <w:rPr>
          <w:rFonts w:ascii="Times New Roman" w:hAnsi="Times New Roman" w:cs="Times New Roman"/>
        </w:rPr>
      </w:pPr>
    </w:p>
    <w:p>
      <w:pPr>
        <w:ind w:firstLine="560"/>
        <w:rPr>
          <w:rFonts w:ascii="Times New Roman" w:hAnsi="Times New Roman" w:cs="Times New Roman"/>
        </w:rPr>
      </w:pPr>
    </w:p>
    <w:p>
      <w:pPr>
        <w:ind w:firstLine="560"/>
        <w:rPr>
          <w:rFonts w:ascii="Times New Roman" w:hAnsi="Times New Roman" w:cs="Times New Roman"/>
        </w:rPr>
      </w:pPr>
    </w:p>
    <w:p>
      <w:pPr>
        <w:ind w:firstLine="560"/>
        <w:rPr>
          <w:rFonts w:ascii="Times New Roman" w:hAnsi="Times New Roman" w:cs="Times New Roman"/>
        </w:rPr>
      </w:pPr>
    </w:p>
    <w:p>
      <w:pPr>
        <w:jc w:val="center"/>
        <w:rPr>
          <w:rFonts w:ascii="方正魏碑_GBK" w:hAnsi="黑体" w:eastAsia="方正魏碑_GBK"/>
          <w:sz w:val="40"/>
          <w:szCs w:val="40"/>
        </w:rPr>
      </w:pPr>
      <w:r>
        <w:rPr>
          <w:rFonts w:ascii="方正魏碑_GBK" w:hAnsi="黑体" w:eastAsia="方正魏碑_GBK"/>
          <w:sz w:val="40"/>
          <w:szCs w:val="40"/>
        </w:rPr>
        <w:drawing>
          <wp:inline distT="0" distB="0" distL="0" distR="0">
            <wp:extent cx="4715510" cy="4521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15735" cy="452613"/>
                    </a:xfrm>
                    <a:prstGeom prst="rect">
                      <a:avLst/>
                    </a:prstGeom>
                  </pic:spPr>
                </pic:pic>
              </a:graphicData>
            </a:graphic>
          </wp:inline>
        </w:drawing>
      </w:r>
    </w:p>
    <w:p>
      <w:pPr>
        <w:pStyle w:val="18"/>
        <w:adjustRightInd w:val="0"/>
        <w:snapToGrid w:val="0"/>
        <w:rPr>
          <w:rFonts w:ascii="方正魏碑_GBK" w:hAnsi="黑体"/>
          <w:sz w:val="40"/>
          <w:szCs w:val="40"/>
        </w:rPr>
        <w:sectPr>
          <w:headerReference r:id="rId3" w:type="default"/>
          <w:footerReference r:id="rId5" w:type="default"/>
          <w:headerReference r:id="rId4" w:type="even"/>
          <w:type w:val="nextColumn"/>
          <w:pgSz w:w="11906" w:h="16838"/>
          <w:pgMar w:top="1616" w:right="1418" w:bottom="2155" w:left="1418" w:header="907" w:footer="1304" w:gutter="0"/>
          <w:pgNumType w:start="1"/>
          <w:cols w:space="720" w:num="1"/>
          <w:docGrid w:type="lines" w:linePitch="384" w:charSpace="0"/>
        </w:sectPr>
      </w:pPr>
      <w:r>
        <w:rPr>
          <w:rFonts w:hint="eastAsia" w:ascii="方正魏碑_GBK" w:hAnsi="黑体"/>
          <w:sz w:val="40"/>
          <w:szCs w:val="40"/>
        </w:rPr>
        <w:t>二</w:t>
      </w:r>
      <w:r>
        <w:rPr>
          <w:rFonts w:hint="eastAsia" w:ascii="方正魏碑_GBK" w:hAnsi="黑体"/>
          <w:b/>
          <w:sz w:val="40"/>
          <w:szCs w:val="40"/>
        </w:rPr>
        <w:t>○二一</w:t>
      </w:r>
      <w:r>
        <w:rPr>
          <w:rFonts w:hint="eastAsia" w:ascii="方正魏碑_GBK" w:hAnsi="黑体"/>
          <w:sz w:val="40"/>
          <w:szCs w:val="40"/>
        </w:rPr>
        <w:t>年十一月</w:t>
      </w:r>
    </w:p>
    <w:p>
      <w:pPr>
        <w:widowControl/>
        <w:jc w:val="center"/>
        <w:rPr>
          <w:rFonts w:ascii="Times New Roman" w:hAnsi="Times New Roman" w:cs="Times New Roman"/>
          <w:b/>
          <w:bCs/>
          <w:color w:val="000000"/>
          <w:sz w:val="40"/>
          <w:szCs w:val="40"/>
        </w:rPr>
        <w:sectPr>
          <w:pgSz w:w="11906" w:h="16838"/>
          <w:pgMar w:top="1616" w:right="1418" w:bottom="1616" w:left="1418" w:header="907" w:footer="1304" w:gutter="0"/>
          <w:pgNumType w:start="1"/>
          <w:cols w:space="720" w:num="1"/>
          <w:docGrid w:type="lines" w:linePitch="388" w:charSpace="0"/>
        </w:sectPr>
      </w:pPr>
    </w:p>
    <w:p>
      <w:pPr>
        <w:widowControl/>
        <w:spacing w:line="560" w:lineRule="exact"/>
        <w:jc w:val="center"/>
        <w:rPr>
          <w:rFonts w:ascii="Times New Roman" w:hAnsi="Times New Roman" w:eastAsia="华文行楷" w:cs="Times New Roman"/>
          <w:bCs/>
          <w:sz w:val="36"/>
          <w:szCs w:val="36"/>
        </w:rPr>
      </w:pPr>
    </w:p>
    <w:p>
      <w:pPr>
        <w:widowControl/>
        <w:spacing w:line="560" w:lineRule="exact"/>
        <w:jc w:val="center"/>
        <w:rPr>
          <w:rFonts w:ascii="Times New Roman" w:hAnsi="Times New Roman" w:eastAsia="华文新魏" w:cs="Times New Roman"/>
          <w:bCs/>
          <w:sz w:val="36"/>
          <w:szCs w:val="36"/>
        </w:rPr>
      </w:pPr>
    </w:p>
    <w:p>
      <w:pPr>
        <w:spacing w:line="560" w:lineRule="exact"/>
        <w:jc w:val="center"/>
        <w:rPr>
          <w:rFonts w:ascii="Times New Roman" w:hAnsi="Times New Roman" w:eastAsia="方正魏碑_GBK" w:cs="Times New Roman"/>
          <w:sz w:val="36"/>
        </w:rPr>
      </w:pPr>
      <w:r>
        <w:rPr>
          <w:rFonts w:hint="eastAsia" w:ascii="Times New Roman" w:hAnsi="Times New Roman" w:eastAsia="方正魏碑_GBK" w:cs="Times New Roman"/>
          <w:sz w:val="36"/>
        </w:rPr>
        <w:t>《楚雄州元谋县大中型水利水电工程</w:t>
      </w:r>
    </w:p>
    <w:p>
      <w:pPr>
        <w:spacing w:line="560" w:lineRule="exact"/>
        <w:jc w:val="center"/>
        <w:rPr>
          <w:rFonts w:ascii="Times New Roman" w:hAnsi="Times New Roman" w:eastAsia="方正魏碑_GBK" w:cs="Times New Roman"/>
          <w:sz w:val="36"/>
        </w:rPr>
      </w:pPr>
      <w:r>
        <w:rPr>
          <w:rFonts w:hint="eastAsia" w:ascii="Times New Roman" w:hAnsi="Times New Roman" w:eastAsia="方正魏碑_GBK" w:cs="Times New Roman"/>
          <w:sz w:val="36"/>
        </w:rPr>
        <w:t>移民搬迁安置和后期扶持“十四五”规划报告</w:t>
      </w:r>
    </w:p>
    <w:p>
      <w:pPr>
        <w:spacing w:line="560" w:lineRule="exact"/>
        <w:jc w:val="center"/>
        <w:rPr>
          <w:rFonts w:ascii="Times New Roman" w:hAnsi="Times New Roman" w:eastAsia="方正魏碑_GBK" w:cs="Times New Roman"/>
          <w:sz w:val="36"/>
        </w:rPr>
      </w:pPr>
      <w:r>
        <w:rPr>
          <w:rFonts w:hint="eastAsia" w:ascii="Times New Roman" w:hAnsi="Times New Roman" w:eastAsia="方正魏碑_GBK" w:cs="Times New Roman"/>
          <w:sz w:val="36"/>
        </w:rPr>
        <w:t>（</w:t>
      </w:r>
      <w:r>
        <w:rPr>
          <w:rFonts w:ascii="Times New Roman" w:hAnsi="Times New Roman" w:eastAsia="方正魏碑_GBK" w:cs="Times New Roman"/>
          <w:sz w:val="36"/>
        </w:rPr>
        <w:t>2021～2025）</w:t>
      </w:r>
      <w:r>
        <w:rPr>
          <w:rFonts w:hint="eastAsia" w:ascii="Times New Roman" w:hAnsi="Times New Roman" w:eastAsia="方正魏碑_GBK" w:cs="Times New Roman"/>
          <w:sz w:val="36"/>
        </w:rPr>
        <w:t>（审定本）》</w:t>
      </w:r>
    </w:p>
    <w:p>
      <w:pPr>
        <w:spacing w:line="600" w:lineRule="exact"/>
        <w:rPr>
          <w:rFonts w:ascii="Times New Roman" w:hAnsi="Times New Roman" w:eastAsia="华文新魏" w:cs="Times New Roman"/>
          <w:bCs/>
          <w:sz w:val="36"/>
          <w:szCs w:val="36"/>
        </w:rPr>
      </w:pPr>
    </w:p>
    <w:p>
      <w:pPr>
        <w:spacing w:line="600" w:lineRule="exact"/>
        <w:rPr>
          <w:rFonts w:ascii="Times New Roman" w:hAnsi="Times New Roman" w:eastAsia="华文新魏" w:cs="Times New Roman"/>
          <w:bCs/>
          <w:sz w:val="36"/>
          <w:szCs w:val="36"/>
        </w:rPr>
      </w:pPr>
    </w:p>
    <w:p>
      <w:pPr>
        <w:spacing w:line="360" w:lineRule="auto"/>
        <w:rPr>
          <w:rFonts w:ascii="Times New Roman" w:hAnsi="Times New Roman" w:eastAsia="宋体" w:cs="Times New Roman"/>
          <w:szCs w:val="28"/>
        </w:rPr>
      </w:pPr>
      <w:r>
        <w:rPr>
          <w:rFonts w:hint="eastAsia" w:ascii="Times New Roman" w:hAnsi="Times New Roman" w:eastAsia="黑体" w:cs="Times New Roman"/>
          <w:spacing w:val="620"/>
          <w:kern w:val="0"/>
          <w:szCs w:val="28"/>
        </w:rPr>
        <w:t>核</w:t>
      </w:r>
      <w:r>
        <w:rPr>
          <w:rFonts w:hint="eastAsia" w:ascii="Times New Roman" w:hAnsi="Times New Roman" w:eastAsia="黑体" w:cs="Times New Roman"/>
          <w:kern w:val="0"/>
          <w:szCs w:val="28"/>
        </w:rPr>
        <w:t>定</w:t>
      </w:r>
      <w:r>
        <w:rPr>
          <w:rFonts w:hint="eastAsia" w:ascii="Times New Roman" w:hAnsi="Times New Roman" w:eastAsia="黑体" w:cs="Times New Roman"/>
          <w:szCs w:val="28"/>
        </w:rPr>
        <w:t>：</w:t>
      </w:r>
      <w:r>
        <w:rPr>
          <w:rFonts w:hint="eastAsia" w:ascii="Times New Roman" w:hAnsi="Times New Roman" w:cs="Times New Roman"/>
          <w:szCs w:val="28"/>
        </w:rPr>
        <w:t>吕</w:t>
      </w:r>
      <w:r>
        <w:rPr>
          <w:rFonts w:ascii="Times New Roman" w:hAnsi="Times New Roman" w:cs="Times New Roman"/>
          <w:szCs w:val="28"/>
        </w:rPr>
        <w:t>　</w:t>
      </w:r>
      <w:r>
        <w:rPr>
          <w:rFonts w:hint="eastAsia" w:ascii="Times New Roman" w:hAnsi="Times New Roman" w:cs="Times New Roman"/>
          <w:szCs w:val="28"/>
        </w:rPr>
        <w:t>涛</w:t>
      </w:r>
    </w:p>
    <w:p>
      <w:pPr>
        <w:spacing w:line="360" w:lineRule="auto"/>
        <w:rPr>
          <w:rFonts w:ascii="Times New Roman" w:hAnsi="Times New Roman" w:eastAsia="楷体_GB2312" w:cs="Times New Roman"/>
          <w:szCs w:val="28"/>
        </w:rPr>
      </w:pPr>
    </w:p>
    <w:p>
      <w:pPr>
        <w:spacing w:line="360" w:lineRule="auto"/>
        <w:rPr>
          <w:rFonts w:ascii="Times New Roman" w:hAnsi="Times New Roman" w:eastAsia="宋体" w:cs="Times New Roman"/>
          <w:szCs w:val="28"/>
        </w:rPr>
      </w:pPr>
      <w:r>
        <w:rPr>
          <w:rFonts w:hint="eastAsia" w:ascii="Times New Roman" w:hAnsi="Times New Roman" w:eastAsia="黑体" w:cs="Times New Roman"/>
          <w:spacing w:val="620"/>
          <w:kern w:val="0"/>
          <w:szCs w:val="28"/>
        </w:rPr>
        <w:t>审</w:t>
      </w:r>
      <w:r>
        <w:rPr>
          <w:rFonts w:hint="eastAsia" w:ascii="Times New Roman" w:hAnsi="Times New Roman" w:eastAsia="黑体" w:cs="Times New Roman"/>
          <w:kern w:val="0"/>
          <w:szCs w:val="28"/>
        </w:rPr>
        <w:t>查</w:t>
      </w:r>
      <w:r>
        <w:rPr>
          <w:rFonts w:hint="eastAsia" w:ascii="Times New Roman" w:hAnsi="Times New Roman" w:eastAsia="黑体" w:cs="Times New Roman"/>
          <w:szCs w:val="28"/>
        </w:rPr>
        <w:t>：</w:t>
      </w:r>
      <w:r>
        <w:rPr>
          <w:rFonts w:hint="eastAsia" w:ascii="Times New Roman" w:hAnsi="Times New Roman" w:cs="Times New Roman"/>
          <w:szCs w:val="28"/>
        </w:rPr>
        <w:t>吕</w:t>
      </w:r>
      <w:r>
        <w:rPr>
          <w:rFonts w:ascii="Times New Roman" w:hAnsi="Times New Roman" w:cs="Times New Roman"/>
          <w:szCs w:val="28"/>
        </w:rPr>
        <w:t>　</w:t>
      </w:r>
      <w:r>
        <w:rPr>
          <w:rFonts w:hint="eastAsia" w:ascii="Times New Roman" w:hAnsi="Times New Roman" w:cs="Times New Roman"/>
          <w:szCs w:val="28"/>
        </w:rPr>
        <w:t>涛</w:t>
      </w:r>
    </w:p>
    <w:p>
      <w:pPr>
        <w:spacing w:line="360" w:lineRule="auto"/>
        <w:rPr>
          <w:rFonts w:ascii="Times New Roman" w:hAnsi="Times New Roman" w:eastAsia="黑体" w:cs="Times New Roman"/>
          <w:kern w:val="0"/>
          <w:szCs w:val="28"/>
        </w:rPr>
      </w:pPr>
    </w:p>
    <w:p>
      <w:pPr>
        <w:spacing w:line="360" w:lineRule="auto"/>
        <w:rPr>
          <w:rFonts w:ascii="Times New Roman" w:hAnsi="Times New Roman" w:eastAsia="宋体" w:cs="Times New Roman"/>
          <w:szCs w:val="28"/>
        </w:rPr>
      </w:pPr>
      <w:r>
        <w:rPr>
          <w:rFonts w:hint="eastAsia" w:ascii="Times New Roman" w:hAnsi="Times New Roman" w:eastAsia="黑体" w:cs="Times New Roman"/>
          <w:spacing w:val="620"/>
          <w:kern w:val="0"/>
          <w:szCs w:val="28"/>
          <w:fitText w:val="1800" w:id="1301615415"/>
        </w:rPr>
        <w:t>校</w:t>
      </w:r>
      <w:r>
        <w:rPr>
          <w:rFonts w:hint="eastAsia" w:ascii="Times New Roman" w:hAnsi="Times New Roman" w:eastAsia="黑体" w:cs="Times New Roman"/>
          <w:spacing w:val="0"/>
          <w:kern w:val="0"/>
          <w:szCs w:val="28"/>
          <w:fitText w:val="1800" w:id="1301615415"/>
        </w:rPr>
        <w:t>核</w:t>
      </w:r>
      <w:r>
        <w:rPr>
          <w:rFonts w:hint="eastAsia" w:ascii="Times New Roman" w:hAnsi="Times New Roman" w:eastAsia="黑体" w:cs="Times New Roman"/>
          <w:snapToGrid w:val="0"/>
          <w:szCs w:val="28"/>
        </w:rPr>
        <w:t>：</w:t>
      </w:r>
      <w:r>
        <w:rPr>
          <w:rFonts w:hint="eastAsia" w:ascii="Times New Roman" w:hAnsi="Times New Roman" w:cs="Times New Roman"/>
          <w:szCs w:val="28"/>
        </w:rPr>
        <w:t>伍晓涛</w:t>
      </w:r>
    </w:p>
    <w:p>
      <w:pPr>
        <w:spacing w:line="360" w:lineRule="auto"/>
        <w:rPr>
          <w:rFonts w:ascii="Times New Roman" w:hAnsi="Times New Roman" w:eastAsia="楷体_GB2312" w:cs="Times New Roman"/>
          <w:szCs w:val="28"/>
        </w:rPr>
      </w:pPr>
    </w:p>
    <w:p>
      <w:pPr>
        <w:tabs>
          <w:tab w:val="left" w:pos="567"/>
        </w:tabs>
        <w:spacing w:line="360" w:lineRule="auto"/>
        <w:rPr>
          <w:rFonts w:ascii="Times New Roman" w:hAnsi="Times New Roman" w:eastAsia="楷体_GB2312" w:cs="Times New Roman"/>
          <w:szCs w:val="28"/>
        </w:rPr>
      </w:pPr>
      <w:r>
        <w:rPr>
          <w:rFonts w:hint="eastAsia" w:ascii="Times New Roman" w:hAnsi="Times New Roman" w:eastAsia="黑体" w:cs="Times New Roman"/>
          <w:spacing w:val="620"/>
          <w:kern w:val="0"/>
          <w:szCs w:val="28"/>
          <w:fitText w:val="1800" w:id="1"/>
        </w:rPr>
        <w:t>编</w:t>
      </w:r>
      <w:r>
        <w:rPr>
          <w:rFonts w:hint="eastAsia" w:ascii="Times New Roman" w:hAnsi="Times New Roman" w:eastAsia="黑体" w:cs="Times New Roman"/>
          <w:spacing w:val="0"/>
          <w:kern w:val="0"/>
          <w:szCs w:val="28"/>
          <w:fitText w:val="1800" w:id="1"/>
        </w:rPr>
        <w:t>写</w:t>
      </w:r>
      <w:r>
        <w:rPr>
          <w:rFonts w:hint="eastAsia" w:ascii="Times New Roman" w:hAnsi="Times New Roman" w:eastAsia="黑体" w:cs="Times New Roman"/>
          <w:szCs w:val="28"/>
        </w:rPr>
        <w:t>：</w:t>
      </w:r>
      <w:r>
        <w:rPr>
          <w:rFonts w:hint="eastAsia" w:ascii="Times New Roman" w:hAnsi="Times New Roman" w:cs="Times New Roman"/>
          <w:szCs w:val="28"/>
        </w:rPr>
        <w:t>葛</w:t>
      </w:r>
      <w:r>
        <w:rPr>
          <w:rFonts w:ascii="Times New Roman" w:hAnsi="Times New Roman" w:cs="Times New Roman"/>
          <w:szCs w:val="28"/>
        </w:rPr>
        <w:t>　</w:t>
      </w:r>
      <w:r>
        <w:rPr>
          <w:rFonts w:hint="eastAsia" w:ascii="Times New Roman" w:hAnsi="Times New Roman" w:cs="Times New Roman"/>
          <w:szCs w:val="28"/>
        </w:rPr>
        <w:t>韵</w:t>
      </w:r>
      <w:r>
        <w:rPr>
          <w:rFonts w:ascii="Times New Roman" w:hAnsi="Times New Roman" w:cs="Times New Roman"/>
          <w:szCs w:val="28"/>
        </w:rPr>
        <w:t>　</w:t>
      </w:r>
      <w:r>
        <w:rPr>
          <w:rFonts w:hint="eastAsia" w:ascii="Times New Roman" w:hAnsi="Times New Roman" w:cs="Times New Roman"/>
          <w:szCs w:val="28"/>
        </w:rPr>
        <w:t>李</w:t>
      </w:r>
      <w:r>
        <w:rPr>
          <w:rFonts w:ascii="Times New Roman" w:hAnsi="Times New Roman" w:cs="Times New Roman"/>
          <w:szCs w:val="28"/>
        </w:rPr>
        <w:t>　</w:t>
      </w:r>
      <w:r>
        <w:rPr>
          <w:rFonts w:hint="eastAsia" w:ascii="Times New Roman" w:hAnsi="Times New Roman" w:cs="Times New Roman"/>
          <w:szCs w:val="28"/>
        </w:rPr>
        <w:t>敏　张</w:t>
      </w:r>
      <w:r>
        <w:rPr>
          <w:rFonts w:ascii="Times New Roman" w:hAnsi="Times New Roman" w:cs="Times New Roman"/>
          <w:szCs w:val="28"/>
        </w:rPr>
        <w:t>　</w:t>
      </w:r>
      <w:r>
        <w:rPr>
          <w:rFonts w:hint="eastAsia" w:ascii="Times New Roman" w:hAnsi="Times New Roman" w:cs="Times New Roman"/>
          <w:szCs w:val="28"/>
        </w:rPr>
        <w:t>文</w:t>
      </w:r>
      <w:r>
        <w:rPr>
          <w:rFonts w:ascii="Times New Roman" w:hAnsi="Times New Roman" w:cs="Times New Roman"/>
          <w:szCs w:val="28"/>
        </w:rPr>
        <w:t>　</w:t>
      </w:r>
      <w:r>
        <w:rPr>
          <w:rFonts w:hint="eastAsia" w:ascii="Times New Roman" w:hAnsi="Times New Roman" w:cs="Times New Roman"/>
          <w:szCs w:val="28"/>
        </w:rPr>
        <w:t>查双全</w:t>
      </w:r>
      <w:r>
        <w:rPr>
          <w:rFonts w:ascii="Times New Roman" w:hAnsi="Times New Roman" w:cs="Times New Roman"/>
          <w:szCs w:val="28"/>
        </w:rPr>
        <w:t>　</w:t>
      </w:r>
      <w:r>
        <w:rPr>
          <w:rFonts w:hint="eastAsia" w:ascii="Times New Roman" w:hAnsi="Times New Roman" w:cs="Times New Roman"/>
          <w:szCs w:val="28"/>
        </w:rPr>
        <w:t>马建华</w:t>
      </w:r>
      <w:r>
        <w:rPr>
          <w:rFonts w:ascii="Times New Roman" w:hAnsi="Times New Roman" w:cs="Times New Roman"/>
          <w:szCs w:val="28"/>
        </w:rPr>
        <w:t>　　　</w:t>
      </w:r>
    </w:p>
    <w:p>
      <w:pPr>
        <w:rPr>
          <w:rFonts w:ascii="Times New Roman" w:hAnsi="Times New Roman" w:cs="Times New Roman"/>
          <w:spacing w:val="40"/>
        </w:rPr>
      </w:pPr>
    </w:p>
    <w:p>
      <w:pPr>
        <w:rPr>
          <w:rFonts w:ascii="Times New Roman" w:hAnsi="Times New Roman" w:eastAsia="华文行楷" w:cs="Times New Roman"/>
          <w:sz w:val="36"/>
          <w:szCs w:val="36"/>
        </w:rPr>
      </w:pPr>
    </w:p>
    <w:p>
      <w:pPr>
        <w:widowControl/>
        <w:jc w:val="left"/>
      </w:pPr>
    </w:p>
    <w:p>
      <w:pPr>
        <w:widowControl/>
        <w:jc w:val="left"/>
        <w:rPr>
          <w:rFonts w:ascii="Times New Roman" w:hAnsi="Times New Roman" w:eastAsia="华文行楷" w:cs="Times New Roman"/>
          <w:bCs/>
          <w:sz w:val="36"/>
          <w:szCs w:val="36"/>
        </w:rPr>
      </w:pPr>
    </w:p>
    <w:p>
      <w:pPr>
        <w:rPr>
          <w:rFonts w:ascii="Times New Roman" w:hAnsi="Times New Roman" w:eastAsia="华文行楷" w:cs="Times New Roman"/>
          <w:sz w:val="36"/>
          <w:szCs w:val="36"/>
        </w:rPr>
        <w:sectPr>
          <w:pgSz w:w="11906" w:h="16838"/>
          <w:pgMar w:top="1616" w:right="1418" w:bottom="1616" w:left="1418" w:header="907" w:footer="1304" w:gutter="0"/>
          <w:pgNumType w:start="1"/>
          <w:cols w:space="720" w:num="1"/>
          <w:docGrid w:type="lines" w:linePitch="388" w:charSpace="0"/>
        </w:sectPr>
      </w:pPr>
    </w:p>
    <w:p>
      <w:pPr>
        <w:spacing w:beforeLines="100" w:afterLines="100" w:line="560" w:lineRule="exact"/>
        <w:jc w:val="center"/>
        <w:rPr>
          <w:rFonts w:ascii="Times New Roman" w:hAnsi="Times New Roman" w:eastAsia="黑体" w:cs="Times New Roman"/>
          <w:sz w:val="36"/>
          <w:szCs w:val="36"/>
        </w:rPr>
      </w:pPr>
      <w:r>
        <w:rPr>
          <w:rFonts w:hint="eastAsia" w:ascii="Times New Roman" w:hAnsi="Times New Roman" w:eastAsia="黑体" w:cs="Times New Roman"/>
          <w:sz w:val="36"/>
          <w:szCs w:val="36"/>
        </w:rPr>
        <w:t>目</w:t>
      </w:r>
      <w:r>
        <w:rPr>
          <w:rFonts w:ascii="Times New Roman" w:hAnsi="Times New Roman" w:eastAsia="黑体" w:cs="Times New Roman"/>
          <w:sz w:val="36"/>
          <w:szCs w:val="36"/>
        </w:rPr>
        <w:t>　</w:t>
      </w:r>
      <w:r>
        <w:rPr>
          <w:rFonts w:hint="eastAsia" w:ascii="Times New Roman" w:hAnsi="Times New Roman" w:eastAsia="黑体" w:cs="Times New Roman"/>
          <w:sz w:val="36"/>
          <w:szCs w:val="36"/>
        </w:rPr>
        <w:t>　录</w:t>
      </w:r>
    </w:p>
    <w:p>
      <w:pPr>
        <w:pStyle w:val="16"/>
        <w:tabs>
          <w:tab w:val="right" w:leader="dot" w:pos="9060"/>
        </w:tabs>
        <w:rPr>
          <w:rFonts w:asciiTheme="minorHAnsi" w:hAnsiTheme="minorHAnsi" w:eastAsiaTheme="minorEastAsia" w:cstheme="minorBidi"/>
          <w:kern w:val="2"/>
          <w:sz w:val="21"/>
          <w:szCs w:val="22"/>
        </w:rPr>
      </w:pPr>
      <w:r>
        <w:rPr>
          <w:rFonts w:asciiTheme="minorHAnsi" w:hAnsiTheme="minorHAnsi" w:cstheme="minorBidi"/>
          <w:bCs/>
          <w:sz w:val="24"/>
          <w:szCs w:val="24"/>
        </w:rPr>
        <w:fldChar w:fldCharType="begin"/>
      </w:r>
      <w:r>
        <w:rPr>
          <w:bCs/>
          <w:sz w:val="24"/>
          <w:szCs w:val="24"/>
        </w:rPr>
        <w:instrText xml:space="preserve">TOC \o "1-2" \h \z \u</w:instrText>
      </w:r>
      <w:r>
        <w:rPr>
          <w:rFonts w:asciiTheme="minorHAnsi" w:hAnsiTheme="minorHAnsi" w:cstheme="minorBidi"/>
          <w:bCs/>
          <w:sz w:val="24"/>
          <w:szCs w:val="24"/>
        </w:rPr>
        <w:fldChar w:fldCharType="separate"/>
      </w:r>
      <w:r>
        <w:fldChar w:fldCharType="begin"/>
      </w:r>
      <w:r>
        <w:instrText xml:space="preserve"> HYPERLINK \l "_Toc86914791" </w:instrText>
      </w:r>
      <w:r>
        <w:fldChar w:fldCharType="separate"/>
      </w:r>
      <w:r>
        <w:rPr>
          <w:rStyle w:val="27"/>
          <w:rFonts w:hint="eastAsia"/>
        </w:rPr>
        <w:t>前　　言</w:t>
      </w:r>
      <w:r>
        <w:tab/>
      </w:r>
      <w:r>
        <w:fldChar w:fldCharType="begin"/>
      </w:r>
      <w:r>
        <w:instrText xml:space="preserve"> PAGEREF _Toc86914791 \h </w:instrText>
      </w:r>
      <w:r>
        <w:fldChar w:fldCharType="separate"/>
      </w:r>
      <w:r>
        <w:t>1</w:t>
      </w:r>
      <w:r>
        <w:fldChar w:fldCharType="end"/>
      </w:r>
      <w:r>
        <w:fldChar w:fldCharType="end"/>
      </w:r>
    </w:p>
    <w:p>
      <w:pPr>
        <w:pStyle w:val="16"/>
        <w:tabs>
          <w:tab w:val="right" w:leader="dot" w:pos="9060"/>
        </w:tabs>
        <w:rPr>
          <w:rFonts w:asciiTheme="minorHAnsi" w:hAnsiTheme="minorHAnsi" w:eastAsiaTheme="minorEastAsia" w:cstheme="minorBidi"/>
          <w:kern w:val="2"/>
          <w:sz w:val="21"/>
          <w:szCs w:val="22"/>
        </w:rPr>
      </w:pPr>
      <w:r>
        <w:fldChar w:fldCharType="begin"/>
      </w:r>
      <w:r>
        <w:instrText xml:space="preserve"> HYPERLINK \l "_Toc86914792" </w:instrText>
      </w:r>
      <w:r>
        <w:fldChar w:fldCharType="separate"/>
      </w:r>
      <w:r>
        <w:rPr>
          <w:rStyle w:val="27"/>
          <w:rFonts w:hint="eastAsia"/>
        </w:rPr>
        <w:t>第一篇　搬迁安置规划</w:t>
      </w:r>
      <w:r>
        <w:tab/>
      </w:r>
      <w:r>
        <w:fldChar w:fldCharType="begin"/>
      </w:r>
      <w:r>
        <w:instrText xml:space="preserve"> PAGEREF _Toc86914792 \h </w:instrText>
      </w:r>
      <w:r>
        <w:fldChar w:fldCharType="separate"/>
      </w:r>
      <w:r>
        <w:t>4</w:t>
      </w:r>
      <w:r>
        <w:fldChar w:fldCharType="end"/>
      </w:r>
      <w:r>
        <w:fldChar w:fldCharType="end"/>
      </w:r>
    </w:p>
    <w:p>
      <w:pPr>
        <w:pStyle w:val="16"/>
        <w:tabs>
          <w:tab w:val="right" w:leader="dot" w:pos="9060"/>
        </w:tabs>
        <w:rPr>
          <w:rFonts w:asciiTheme="minorHAnsi" w:hAnsiTheme="minorHAnsi" w:eastAsiaTheme="minorEastAsia" w:cstheme="minorBidi"/>
          <w:kern w:val="2"/>
          <w:sz w:val="21"/>
          <w:szCs w:val="22"/>
        </w:rPr>
      </w:pPr>
      <w:r>
        <w:fldChar w:fldCharType="begin"/>
      </w:r>
      <w:r>
        <w:instrText xml:space="preserve"> HYPERLINK \l "_Toc86914793" </w:instrText>
      </w:r>
      <w:r>
        <w:fldChar w:fldCharType="separate"/>
      </w:r>
      <w:r>
        <w:rPr>
          <w:rStyle w:val="27"/>
        </w:rPr>
        <w:t>1</w:t>
      </w:r>
      <w:r>
        <w:rPr>
          <w:rStyle w:val="27"/>
          <w:rFonts w:hint="eastAsia"/>
        </w:rPr>
        <w:t>　概　述</w:t>
      </w:r>
      <w:r>
        <w:tab/>
      </w:r>
      <w:r>
        <w:fldChar w:fldCharType="begin"/>
      </w:r>
      <w:r>
        <w:instrText xml:space="preserve"> PAGEREF _Toc86914793 \h </w:instrText>
      </w:r>
      <w:r>
        <w:fldChar w:fldCharType="separate"/>
      </w:r>
      <w:r>
        <w:t>4</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"_Toc86914794" </w:instrText>
      </w:r>
      <w:r>
        <w:fldChar w:fldCharType="separate"/>
      </w:r>
      <w:r>
        <w:rPr>
          <w:rStyle w:val="27"/>
        </w:rPr>
        <w:t>1.1</w:t>
      </w:r>
      <w:r>
        <w:rPr>
          <w:rStyle w:val="27"/>
          <w:rFonts w:hint="eastAsia"/>
        </w:rPr>
        <w:t>　搬迁安置基本情况</w:t>
      </w:r>
      <w:r>
        <w:tab/>
      </w:r>
      <w:r>
        <w:fldChar w:fldCharType="begin"/>
      </w:r>
      <w:r>
        <w:instrText xml:space="preserve"> PAGEREF _Toc86914794 \h </w:instrText>
      </w:r>
      <w:r>
        <w:fldChar w:fldCharType="separate"/>
      </w:r>
      <w:r>
        <w:t>4</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"_Toc86914795" </w:instrText>
      </w:r>
      <w:r>
        <w:fldChar w:fldCharType="separate"/>
      </w:r>
      <w:r>
        <w:rPr>
          <w:rStyle w:val="27"/>
        </w:rPr>
        <w:t>1.2</w:t>
      </w:r>
      <w:r>
        <w:rPr>
          <w:rStyle w:val="27"/>
          <w:rFonts w:hint="eastAsia"/>
        </w:rPr>
        <w:t>　搬迁安置</w:t>
      </w:r>
      <w:r>
        <w:rPr>
          <w:rStyle w:val="27"/>
        </w:rPr>
        <w:t>“</w:t>
      </w:r>
      <w:r>
        <w:rPr>
          <w:rStyle w:val="27"/>
          <w:rFonts w:hint="eastAsia"/>
        </w:rPr>
        <w:t>十三五</w:t>
      </w:r>
      <w:r>
        <w:rPr>
          <w:rStyle w:val="27"/>
        </w:rPr>
        <w:t>”</w:t>
      </w:r>
      <w:r>
        <w:rPr>
          <w:rStyle w:val="27"/>
          <w:rFonts w:hint="eastAsia"/>
        </w:rPr>
        <w:t>实施情况</w:t>
      </w:r>
      <w:r>
        <w:tab/>
      </w:r>
      <w:r>
        <w:fldChar w:fldCharType="begin"/>
      </w:r>
      <w:r>
        <w:instrText xml:space="preserve"> PAGEREF _Toc86914795 \h </w:instrText>
      </w:r>
      <w:r>
        <w:fldChar w:fldCharType="separate"/>
      </w:r>
      <w:r>
        <w:t>9</w:t>
      </w:r>
      <w:r>
        <w:fldChar w:fldCharType="end"/>
      </w:r>
      <w:r>
        <w:fldChar w:fldCharType="end"/>
      </w:r>
    </w:p>
    <w:p>
      <w:pPr>
        <w:pStyle w:val="16"/>
        <w:tabs>
          <w:tab w:val="right" w:leader="dot" w:pos="9060"/>
        </w:tabs>
        <w:rPr>
          <w:rFonts w:asciiTheme="minorHAnsi" w:hAnsiTheme="minorHAnsi" w:eastAsiaTheme="minorEastAsia" w:cstheme="minorBidi"/>
          <w:kern w:val="2"/>
          <w:sz w:val="21"/>
          <w:szCs w:val="22"/>
        </w:rPr>
      </w:pPr>
      <w:r>
        <w:fldChar w:fldCharType="begin"/>
      </w:r>
      <w:r>
        <w:instrText xml:space="preserve"> HYPERLINK \l "_Toc86914796" </w:instrText>
      </w:r>
      <w:r>
        <w:fldChar w:fldCharType="separate"/>
      </w:r>
      <w:r>
        <w:rPr>
          <w:rStyle w:val="27"/>
        </w:rPr>
        <w:t>2</w:t>
      </w:r>
      <w:r>
        <w:rPr>
          <w:rStyle w:val="27"/>
          <w:rFonts w:hint="eastAsia"/>
        </w:rPr>
        <w:t>　搬迁安置“十四五”面临的形势</w:t>
      </w:r>
      <w:r>
        <w:tab/>
      </w:r>
      <w:r>
        <w:fldChar w:fldCharType="begin"/>
      </w:r>
      <w:r>
        <w:instrText xml:space="preserve"> PAGEREF _Toc86914796 \h </w:instrText>
      </w:r>
      <w:r>
        <w:fldChar w:fldCharType="separate"/>
      </w:r>
      <w:r>
        <w:t>17</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"_Toc86914797" </w:instrText>
      </w:r>
      <w:r>
        <w:fldChar w:fldCharType="separate"/>
      </w:r>
      <w:r>
        <w:rPr>
          <w:rStyle w:val="27"/>
        </w:rPr>
        <w:t>2.1</w:t>
      </w:r>
      <w:r>
        <w:rPr>
          <w:rStyle w:val="27"/>
          <w:rFonts w:hint="eastAsia"/>
        </w:rPr>
        <w:t>　搬迁安置任务</w:t>
      </w:r>
      <w:r>
        <w:tab/>
      </w:r>
      <w:r>
        <w:fldChar w:fldCharType="begin"/>
      </w:r>
      <w:r>
        <w:instrText xml:space="preserve"> PAGEREF _Toc86914797 \h </w:instrText>
      </w:r>
      <w:r>
        <w:fldChar w:fldCharType="separate"/>
      </w:r>
      <w:r>
        <w:t>17</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"_Toc86914798" </w:instrText>
      </w:r>
      <w:r>
        <w:fldChar w:fldCharType="separate"/>
      </w:r>
      <w:r>
        <w:rPr>
          <w:rStyle w:val="27"/>
        </w:rPr>
        <w:t>2.2</w:t>
      </w:r>
      <w:r>
        <w:rPr>
          <w:rStyle w:val="27"/>
          <w:rFonts w:hint="eastAsia"/>
        </w:rPr>
        <w:t>　搬迁安置存在的主要问题</w:t>
      </w:r>
      <w:r>
        <w:tab/>
      </w:r>
      <w:r>
        <w:fldChar w:fldCharType="begin"/>
      </w:r>
      <w:r>
        <w:instrText xml:space="preserve"> PAGEREF _Toc86914798 \h </w:instrText>
      </w:r>
      <w:r>
        <w:fldChar w:fldCharType="separate"/>
      </w:r>
      <w:r>
        <w:t>17</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"_Toc86914799" </w:instrText>
      </w:r>
      <w:r>
        <w:fldChar w:fldCharType="separate"/>
      </w:r>
      <w:r>
        <w:rPr>
          <w:rStyle w:val="27"/>
        </w:rPr>
        <w:t>2.3</w:t>
      </w:r>
      <w:r>
        <w:rPr>
          <w:rStyle w:val="27"/>
          <w:rFonts w:hint="eastAsia"/>
        </w:rPr>
        <w:t>　搬迁工作机制和队伍建设</w:t>
      </w:r>
      <w:r>
        <w:tab/>
      </w:r>
      <w:r>
        <w:fldChar w:fldCharType="begin"/>
      </w:r>
      <w:r>
        <w:instrText xml:space="preserve"> PAGEREF _Toc86914799 \h </w:instrText>
      </w:r>
      <w:r>
        <w:fldChar w:fldCharType="separate"/>
      </w:r>
      <w:r>
        <w:t>18</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"_Toc86914800" </w:instrText>
      </w:r>
      <w:r>
        <w:fldChar w:fldCharType="separate"/>
      </w:r>
      <w:r>
        <w:rPr>
          <w:rStyle w:val="27"/>
        </w:rPr>
        <w:t>2.4</w:t>
      </w:r>
      <w:r>
        <w:rPr>
          <w:rStyle w:val="27"/>
          <w:rFonts w:hint="eastAsia"/>
        </w:rPr>
        <w:t>　库区和移民安置区社会稳定</w:t>
      </w:r>
      <w:r>
        <w:tab/>
      </w:r>
      <w:r>
        <w:fldChar w:fldCharType="begin"/>
      </w:r>
      <w:r>
        <w:instrText xml:space="preserve"> PAGEREF _Toc86914800 \h </w:instrText>
      </w:r>
      <w:r>
        <w:fldChar w:fldCharType="separate"/>
      </w:r>
      <w:r>
        <w:t>18</w:t>
      </w:r>
      <w:r>
        <w:fldChar w:fldCharType="end"/>
      </w:r>
      <w:r>
        <w:fldChar w:fldCharType="end"/>
      </w:r>
    </w:p>
    <w:p>
      <w:pPr>
        <w:pStyle w:val="16"/>
        <w:tabs>
          <w:tab w:val="right" w:leader="dot" w:pos="9060"/>
        </w:tabs>
        <w:rPr>
          <w:rFonts w:asciiTheme="minorHAnsi" w:hAnsiTheme="minorHAnsi" w:eastAsiaTheme="minorEastAsia" w:cstheme="minorBidi"/>
          <w:kern w:val="2"/>
          <w:sz w:val="21"/>
          <w:szCs w:val="22"/>
        </w:rPr>
      </w:pPr>
      <w:r>
        <w:fldChar w:fldCharType="begin"/>
      </w:r>
      <w:r>
        <w:instrText xml:space="preserve"> HYPERLINK \l "_Toc86914801" </w:instrText>
      </w:r>
      <w:r>
        <w:fldChar w:fldCharType="separate"/>
      </w:r>
      <w:r>
        <w:rPr>
          <w:rStyle w:val="27"/>
        </w:rPr>
        <w:t>3</w:t>
      </w:r>
      <w:r>
        <w:rPr>
          <w:rStyle w:val="27"/>
          <w:rFonts w:hint="eastAsia"/>
        </w:rPr>
        <w:t>　搬迁安置规划范围和期限</w:t>
      </w:r>
      <w:r>
        <w:tab/>
      </w:r>
      <w:r>
        <w:fldChar w:fldCharType="begin"/>
      </w:r>
      <w:r>
        <w:instrText xml:space="preserve"> PAGEREF _Toc86914801 \h </w:instrText>
      </w:r>
      <w:r>
        <w:fldChar w:fldCharType="separate"/>
      </w:r>
      <w:r>
        <w:t>19</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"_Toc86914802" </w:instrText>
      </w:r>
      <w:r>
        <w:fldChar w:fldCharType="separate"/>
      </w:r>
      <w:r>
        <w:rPr>
          <w:rStyle w:val="27"/>
        </w:rPr>
        <w:t>3.1</w:t>
      </w:r>
      <w:r>
        <w:rPr>
          <w:rStyle w:val="27"/>
          <w:rFonts w:hint="eastAsia"/>
        </w:rPr>
        <w:t>　范　围</w:t>
      </w:r>
      <w:r>
        <w:tab/>
      </w:r>
      <w:r>
        <w:fldChar w:fldCharType="begin"/>
      </w:r>
      <w:r>
        <w:instrText xml:space="preserve"> PAGEREF _Toc86914802 \h </w:instrText>
      </w:r>
      <w:r>
        <w:fldChar w:fldCharType="separate"/>
      </w:r>
      <w:r>
        <w:t>19</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"_Toc86914803" </w:instrText>
      </w:r>
      <w:r>
        <w:fldChar w:fldCharType="separate"/>
      </w:r>
      <w:r>
        <w:rPr>
          <w:rStyle w:val="27"/>
        </w:rPr>
        <w:t>3.2</w:t>
      </w:r>
      <w:r>
        <w:rPr>
          <w:rStyle w:val="27"/>
          <w:rFonts w:hint="eastAsia"/>
        </w:rPr>
        <w:t>　期　限</w:t>
      </w:r>
      <w:r>
        <w:tab/>
      </w:r>
      <w:r>
        <w:fldChar w:fldCharType="begin"/>
      </w:r>
      <w:r>
        <w:instrText xml:space="preserve"> PAGEREF _Toc86914803 \h </w:instrText>
      </w:r>
      <w:r>
        <w:fldChar w:fldCharType="separate"/>
      </w:r>
      <w:r>
        <w:t>19</w:t>
      </w:r>
      <w:r>
        <w:fldChar w:fldCharType="end"/>
      </w:r>
      <w:r>
        <w:fldChar w:fldCharType="end"/>
      </w:r>
    </w:p>
    <w:p>
      <w:pPr>
        <w:pStyle w:val="16"/>
        <w:tabs>
          <w:tab w:val="right" w:leader="dot" w:pos="9060"/>
        </w:tabs>
        <w:rPr>
          <w:rFonts w:asciiTheme="minorHAnsi" w:hAnsiTheme="minorHAnsi" w:eastAsiaTheme="minorEastAsia" w:cstheme="minorBidi"/>
          <w:kern w:val="2"/>
          <w:sz w:val="21"/>
          <w:szCs w:val="22"/>
        </w:rPr>
      </w:pPr>
      <w:r>
        <w:fldChar w:fldCharType="begin"/>
      </w:r>
      <w:r>
        <w:instrText xml:space="preserve"> HYPERLINK \l "_Toc86914804" </w:instrText>
      </w:r>
      <w:r>
        <w:fldChar w:fldCharType="separate"/>
      </w:r>
      <w:r>
        <w:rPr>
          <w:rStyle w:val="27"/>
        </w:rPr>
        <w:t>4</w:t>
      </w:r>
      <w:r>
        <w:rPr>
          <w:rStyle w:val="27"/>
          <w:rFonts w:hint="eastAsia"/>
        </w:rPr>
        <w:t>　移民搬迁安置推进规划</w:t>
      </w:r>
      <w:r>
        <w:tab/>
      </w:r>
      <w:r>
        <w:fldChar w:fldCharType="begin"/>
      </w:r>
      <w:r>
        <w:instrText xml:space="preserve"> PAGEREF _Toc86914804 \h </w:instrText>
      </w:r>
      <w:r>
        <w:fldChar w:fldCharType="separate"/>
      </w:r>
      <w:r>
        <w:t>20</w:t>
      </w:r>
      <w:r>
        <w:fldChar w:fldCharType="end"/>
      </w:r>
      <w:r>
        <w:fldChar w:fldCharType="end"/>
      </w:r>
    </w:p>
    <w:p>
      <w:pPr>
        <w:pStyle w:val="16"/>
        <w:tabs>
          <w:tab w:val="right" w:leader="dot" w:pos="9060"/>
        </w:tabs>
        <w:rPr>
          <w:rFonts w:asciiTheme="minorHAnsi" w:hAnsiTheme="minorHAnsi" w:eastAsiaTheme="minorEastAsia" w:cstheme="minorBidi"/>
          <w:kern w:val="2"/>
          <w:sz w:val="21"/>
          <w:szCs w:val="22"/>
        </w:rPr>
      </w:pPr>
      <w:r>
        <w:fldChar w:fldCharType="begin"/>
      </w:r>
      <w:r>
        <w:instrText xml:space="preserve"> HYPERLINK \l "_Toc86914805" </w:instrText>
      </w:r>
      <w:r>
        <w:fldChar w:fldCharType="separate"/>
      </w:r>
      <w:r>
        <w:rPr>
          <w:rStyle w:val="27"/>
        </w:rPr>
        <w:t>5</w:t>
      </w:r>
      <w:r>
        <w:rPr>
          <w:rStyle w:val="27"/>
          <w:rFonts w:hint="eastAsia"/>
        </w:rPr>
        <w:t>　前期工作推进规划</w:t>
      </w:r>
      <w:r>
        <w:tab/>
      </w:r>
      <w:r>
        <w:fldChar w:fldCharType="begin"/>
      </w:r>
      <w:r>
        <w:instrText xml:space="preserve"> PAGEREF _Toc86914805 \h </w:instrText>
      </w:r>
      <w:r>
        <w:fldChar w:fldCharType="separate"/>
      </w:r>
      <w:r>
        <w:t>21</w:t>
      </w:r>
      <w:r>
        <w:fldChar w:fldCharType="end"/>
      </w:r>
      <w:r>
        <w:fldChar w:fldCharType="end"/>
      </w:r>
    </w:p>
    <w:p>
      <w:pPr>
        <w:pStyle w:val="16"/>
        <w:tabs>
          <w:tab w:val="right" w:leader="dot" w:pos="9060"/>
        </w:tabs>
        <w:rPr>
          <w:rFonts w:asciiTheme="minorHAnsi" w:hAnsiTheme="minorHAnsi" w:eastAsiaTheme="minorEastAsia" w:cstheme="minorBidi"/>
          <w:kern w:val="2"/>
          <w:sz w:val="21"/>
          <w:szCs w:val="22"/>
        </w:rPr>
      </w:pPr>
      <w:r>
        <w:fldChar w:fldCharType="begin"/>
      </w:r>
      <w:r>
        <w:instrText xml:space="preserve"> HYPERLINK \l "_Toc86914806" </w:instrText>
      </w:r>
      <w:r>
        <w:fldChar w:fldCharType="separate"/>
      </w:r>
      <w:r>
        <w:rPr>
          <w:rStyle w:val="27"/>
        </w:rPr>
        <w:t>6</w:t>
      </w:r>
      <w:r>
        <w:rPr>
          <w:rStyle w:val="27"/>
          <w:rFonts w:hint="eastAsia"/>
        </w:rPr>
        <w:t>　搬迁安置验收规划</w:t>
      </w:r>
      <w:r>
        <w:tab/>
      </w:r>
      <w:r>
        <w:fldChar w:fldCharType="begin"/>
      </w:r>
      <w:r>
        <w:instrText xml:space="preserve"> PAGEREF _Toc86914806 \h </w:instrText>
      </w:r>
      <w:r>
        <w:fldChar w:fldCharType="separate"/>
      </w:r>
      <w:r>
        <w:t>22</w:t>
      </w:r>
      <w:r>
        <w:fldChar w:fldCharType="end"/>
      </w:r>
      <w:r>
        <w:fldChar w:fldCharType="end"/>
      </w:r>
    </w:p>
    <w:p>
      <w:pPr>
        <w:pStyle w:val="16"/>
        <w:tabs>
          <w:tab w:val="right" w:leader="dot" w:pos="9060"/>
        </w:tabs>
        <w:rPr>
          <w:rFonts w:asciiTheme="minorHAnsi" w:hAnsiTheme="minorHAnsi" w:eastAsiaTheme="minorEastAsia" w:cstheme="minorBidi"/>
          <w:kern w:val="2"/>
          <w:sz w:val="21"/>
          <w:szCs w:val="22"/>
        </w:rPr>
      </w:pPr>
      <w:r>
        <w:fldChar w:fldCharType="begin"/>
      </w:r>
      <w:r>
        <w:instrText xml:space="preserve"> HYPERLINK \l "_Toc86914807" </w:instrText>
      </w:r>
      <w:r>
        <w:fldChar w:fldCharType="separate"/>
      </w:r>
      <w:r>
        <w:rPr>
          <w:rStyle w:val="27"/>
          <w:rFonts w:hint="eastAsia"/>
        </w:rPr>
        <w:t>第二篇　后期扶持规划</w:t>
      </w:r>
      <w:r>
        <w:tab/>
      </w:r>
      <w:r>
        <w:fldChar w:fldCharType="begin"/>
      </w:r>
      <w:r>
        <w:instrText xml:space="preserve"> PAGEREF _Toc86914807 \h </w:instrText>
      </w:r>
      <w:r>
        <w:fldChar w:fldCharType="separate"/>
      </w:r>
      <w:r>
        <w:t>23</w:t>
      </w:r>
      <w:r>
        <w:fldChar w:fldCharType="end"/>
      </w:r>
      <w:r>
        <w:fldChar w:fldCharType="end"/>
      </w:r>
    </w:p>
    <w:p>
      <w:pPr>
        <w:pStyle w:val="16"/>
        <w:tabs>
          <w:tab w:val="right" w:leader="dot" w:pos="9060"/>
        </w:tabs>
        <w:rPr>
          <w:rFonts w:asciiTheme="minorHAnsi" w:hAnsiTheme="minorHAnsi" w:eastAsiaTheme="minorEastAsia" w:cstheme="minorBidi"/>
          <w:kern w:val="2"/>
          <w:sz w:val="21"/>
          <w:szCs w:val="22"/>
        </w:rPr>
      </w:pPr>
      <w:r>
        <w:fldChar w:fldCharType="begin"/>
      </w:r>
      <w:r>
        <w:instrText xml:space="preserve"> HYPERLINK \l "_Toc86914808" </w:instrText>
      </w:r>
      <w:r>
        <w:fldChar w:fldCharType="separate"/>
      </w:r>
      <w:r>
        <w:rPr>
          <w:rStyle w:val="27"/>
        </w:rPr>
        <w:t>1</w:t>
      </w:r>
      <w:r>
        <w:rPr>
          <w:rStyle w:val="27"/>
          <w:rFonts w:hint="eastAsia"/>
        </w:rPr>
        <w:t>　规划背景</w:t>
      </w:r>
      <w:r>
        <w:tab/>
      </w:r>
      <w:r>
        <w:fldChar w:fldCharType="begin"/>
      </w:r>
      <w:r>
        <w:instrText xml:space="preserve"> PAGEREF _Toc86914808 \h </w:instrText>
      </w:r>
      <w:r>
        <w:fldChar w:fldCharType="separate"/>
      </w:r>
      <w:r>
        <w:t>23</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"_Toc86914809" </w:instrText>
      </w:r>
      <w:r>
        <w:fldChar w:fldCharType="separate"/>
      </w:r>
      <w:r>
        <w:rPr>
          <w:rStyle w:val="27"/>
        </w:rPr>
        <w:t>1.1</w:t>
      </w:r>
      <w:r>
        <w:rPr>
          <w:rStyle w:val="27"/>
          <w:rFonts w:hint="eastAsia"/>
        </w:rPr>
        <w:t>　区域经济社会概况</w:t>
      </w:r>
      <w:r>
        <w:tab/>
      </w:r>
      <w:r>
        <w:fldChar w:fldCharType="begin"/>
      </w:r>
      <w:r>
        <w:instrText xml:space="preserve"> PAGEREF _Toc86914809 \h </w:instrText>
      </w:r>
      <w:r>
        <w:fldChar w:fldCharType="separate"/>
      </w:r>
      <w:r>
        <w:t>23</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"_Toc86914810" </w:instrText>
      </w:r>
      <w:r>
        <w:fldChar w:fldCharType="separate"/>
      </w:r>
      <w:r>
        <w:rPr>
          <w:rStyle w:val="27"/>
        </w:rPr>
        <w:t>1.2</w:t>
      </w:r>
      <w:r>
        <w:rPr>
          <w:rStyle w:val="27"/>
          <w:rFonts w:hint="eastAsia"/>
        </w:rPr>
        <w:t>　水库移民基本情况</w:t>
      </w:r>
      <w:r>
        <w:tab/>
      </w:r>
      <w:r>
        <w:fldChar w:fldCharType="begin"/>
      </w:r>
      <w:r>
        <w:instrText xml:space="preserve"> PAGEREF _Toc86914810 \h </w:instrText>
      </w:r>
      <w:r>
        <w:fldChar w:fldCharType="separate"/>
      </w:r>
      <w:r>
        <w:t>25</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"_Toc86914811" </w:instrText>
      </w:r>
      <w:r>
        <w:fldChar w:fldCharType="separate"/>
      </w:r>
      <w:r>
        <w:rPr>
          <w:rStyle w:val="27"/>
        </w:rPr>
        <w:t>1.3</w:t>
      </w:r>
      <w:r>
        <w:rPr>
          <w:rStyle w:val="27"/>
          <w:rFonts w:hint="eastAsia"/>
        </w:rPr>
        <w:t>　</w:t>
      </w:r>
      <w:r>
        <w:rPr>
          <w:rStyle w:val="27"/>
        </w:rPr>
        <w:t>“</w:t>
      </w:r>
      <w:r>
        <w:rPr>
          <w:rStyle w:val="27"/>
          <w:rFonts w:hint="eastAsia"/>
        </w:rPr>
        <w:t>十三五</w:t>
      </w:r>
      <w:r>
        <w:rPr>
          <w:rStyle w:val="27"/>
        </w:rPr>
        <w:t>”</w:t>
      </w:r>
      <w:r>
        <w:rPr>
          <w:rStyle w:val="27"/>
          <w:rFonts w:hint="eastAsia"/>
        </w:rPr>
        <w:t>期间移民后期扶持情况</w:t>
      </w:r>
      <w:r>
        <w:tab/>
      </w:r>
      <w:r>
        <w:fldChar w:fldCharType="begin"/>
      </w:r>
      <w:r>
        <w:instrText xml:space="preserve"> PAGEREF _Toc86914811 \h </w:instrText>
      </w:r>
      <w:r>
        <w:fldChar w:fldCharType="separate"/>
      </w:r>
      <w:r>
        <w:t>26</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"_Toc86914812" </w:instrText>
      </w:r>
      <w:r>
        <w:fldChar w:fldCharType="separate"/>
      </w:r>
      <w:r>
        <w:rPr>
          <w:rStyle w:val="27"/>
        </w:rPr>
        <w:t>1.4</w:t>
      </w:r>
      <w:r>
        <w:rPr>
          <w:rStyle w:val="27"/>
          <w:rFonts w:hint="eastAsia"/>
        </w:rPr>
        <w:t>　</w:t>
      </w:r>
      <w:r>
        <w:rPr>
          <w:rStyle w:val="27"/>
        </w:rPr>
        <w:t>“</w:t>
      </w:r>
      <w:r>
        <w:rPr>
          <w:rStyle w:val="27"/>
          <w:rFonts w:hint="eastAsia"/>
        </w:rPr>
        <w:t>十四五</w:t>
      </w:r>
      <w:r>
        <w:rPr>
          <w:rStyle w:val="27"/>
        </w:rPr>
        <w:t>”</w:t>
      </w:r>
      <w:r>
        <w:rPr>
          <w:rStyle w:val="27"/>
          <w:rFonts w:hint="eastAsia"/>
        </w:rPr>
        <w:t>水库移民工作面临的形势分析</w:t>
      </w:r>
      <w:r>
        <w:tab/>
      </w:r>
      <w:r>
        <w:fldChar w:fldCharType="begin"/>
      </w:r>
      <w:r>
        <w:instrText xml:space="preserve"> PAGEREF _Toc86914812 \h </w:instrText>
      </w:r>
      <w:r>
        <w:fldChar w:fldCharType="separate"/>
      </w:r>
      <w:r>
        <w:t>30</w:t>
      </w:r>
      <w:r>
        <w:fldChar w:fldCharType="end"/>
      </w:r>
      <w:r>
        <w:fldChar w:fldCharType="end"/>
      </w:r>
    </w:p>
    <w:p>
      <w:pPr>
        <w:pStyle w:val="16"/>
        <w:tabs>
          <w:tab w:val="right" w:leader="dot" w:pos="9060"/>
        </w:tabs>
        <w:rPr>
          <w:rFonts w:asciiTheme="minorHAnsi" w:hAnsiTheme="minorHAnsi" w:eastAsiaTheme="minorEastAsia" w:cstheme="minorBidi"/>
          <w:kern w:val="2"/>
          <w:sz w:val="21"/>
          <w:szCs w:val="22"/>
        </w:rPr>
      </w:pPr>
      <w:r>
        <w:fldChar w:fldCharType="begin"/>
      </w:r>
      <w:r>
        <w:instrText xml:space="preserve"> HYPERLINK \l "_Toc86914813" </w:instrText>
      </w:r>
      <w:r>
        <w:fldChar w:fldCharType="separate"/>
      </w:r>
      <w:r>
        <w:rPr>
          <w:rStyle w:val="27"/>
        </w:rPr>
        <w:t>2</w:t>
      </w:r>
      <w:r>
        <w:rPr>
          <w:rStyle w:val="27"/>
          <w:rFonts w:hint="eastAsia"/>
        </w:rPr>
        <w:t>　总体要求</w:t>
      </w:r>
      <w:r>
        <w:tab/>
      </w:r>
      <w:r>
        <w:fldChar w:fldCharType="begin"/>
      </w:r>
      <w:r>
        <w:instrText xml:space="preserve"> PAGEREF _Toc86914813 \h </w:instrText>
      </w:r>
      <w:r>
        <w:fldChar w:fldCharType="separate"/>
      </w:r>
      <w:r>
        <w:t>35</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"_Toc86914814" </w:instrText>
      </w:r>
      <w:r>
        <w:fldChar w:fldCharType="separate"/>
      </w:r>
      <w:r>
        <w:rPr>
          <w:rStyle w:val="27"/>
        </w:rPr>
        <w:t>2.1</w:t>
      </w:r>
      <w:r>
        <w:rPr>
          <w:rStyle w:val="27"/>
          <w:rFonts w:hint="eastAsia"/>
        </w:rPr>
        <w:t>　指导思想</w:t>
      </w:r>
      <w:r>
        <w:tab/>
      </w:r>
      <w:r>
        <w:fldChar w:fldCharType="begin"/>
      </w:r>
      <w:r>
        <w:instrText xml:space="preserve"> PAGEREF _Toc86914814 \h </w:instrText>
      </w:r>
      <w:r>
        <w:fldChar w:fldCharType="separate"/>
      </w:r>
      <w:r>
        <w:t>35</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"_Toc86914815" </w:instrText>
      </w:r>
      <w:r>
        <w:fldChar w:fldCharType="separate"/>
      </w:r>
      <w:r>
        <w:rPr>
          <w:rStyle w:val="27"/>
        </w:rPr>
        <w:t>2.2</w:t>
      </w:r>
      <w:r>
        <w:rPr>
          <w:rStyle w:val="27"/>
          <w:rFonts w:hint="eastAsia"/>
        </w:rPr>
        <w:t>　规划原则</w:t>
      </w:r>
      <w:r>
        <w:tab/>
      </w:r>
      <w:r>
        <w:fldChar w:fldCharType="begin"/>
      </w:r>
      <w:r>
        <w:instrText xml:space="preserve"> PAGEREF _Toc86914815 \h </w:instrText>
      </w:r>
      <w:r>
        <w:fldChar w:fldCharType="separate"/>
      </w:r>
      <w:r>
        <w:t>35</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"_Toc86914816" </w:instrText>
      </w:r>
      <w:r>
        <w:fldChar w:fldCharType="separate"/>
      </w:r>
      <w:r>
        <w:rPr>
          <w:rStyle w:val="27"/>
        </w:rPr>
        <w:t>2.3</w:t>
      </w:r>
      <w:r>
        <w:rPr>
          <w:rStyle w:val="27"/>
          <w:rFonts w:hint="eastAsia"/>
        </w:rPr>
        <w:t>　规划依据</w:t>
      </w:r>
      <w:r>
        <w:tab/>
      </w:r>
      <w:r>
        <w:fldChar w:fldCharType="begin"/>
      </w:r>
      <w:r>
        <w:instrText xml:space="preserve"> PAGEREF _Toc86914816 \h </w:instrText>
      </w:r>
      <w:r>
        <w:fldChar w:fldCharType="separate"/>
      </w:r>
      <w:r>
        <w:t>36</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"_Toc86914817" </w:instrText>
      </w:r>
      <w:r>
        <w:fldChar w:fldCharType="separate"/>
      </w:r>
      <w:r>
        <w:rPr>
          <w:rStyle w:val="27"/>
        </w:rPr>
        <w:t>2.4</w:t>
      </w:r>
      <w:r>
        <w:rPr>
          <w:rStyle w:val="27"/>
          <w:rFonts w:hint="eastAsia"/>
        </w:rPr>
        <w:t>　规划范围</w:t>
      </w:r>
      <w:r>
        <w:tab/>
      </w:r>
      <w:r>
        <w:fldChar w:fldCharType="begin"/>
      </w:r>
      <w:r>
        <w:instrText xml:space="preserve"> PAGEREF _Toc86914817 \h </w:instrText>
      </w:r>
      <w:r>
        <w:fldChar w:fldCharType="separate"/>
      </w:r>
      <w:r>
        <w:t>39</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"_Toc86914818" </w:instrText>
      </w:r>
      <w:r>
        <w:fldChar w:fldCharType="separate"/>
      </w:r>
      <w:r>
        <w:rPr>
          <w:rStyle w:val="27"/>
        </w:rPr>
        <w:t>2.5</w:t>
      </w:r>
      <w:r>
        <w:rPr>
          <w:rStyle w:val="27"/>
          <w:rFonts w:hint="eastAsia"/>
        </w:rPr>
        <w:t>　规划期限</w:t>
      </w:r>
      <w:r>
        <w:tab/>
      </w:r>
      <w:r>
        <w:fldChar w:fldCharType="begin"/>
      </w:r>
      <w:r>
        <w:instrText xml:space="preserve"> PAGEREF _Toc86914818 \h </w:instrText>
      </w:r>
      <w:r>
        <w:fldChar w:fldCharType="separate"/>
      </w:r>
      <w:r>
        <w:t>39</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"_Toc86914819" </w:instrText>
      </w:r>
      <w:r>
        <w:fldChar w:fldCharType="separate"/>
      </w:r>
      <w:r>
        <w:rPr>
          <w:rStyle w:val="27"/>
        </w:rPr>
        <w:t>2.6</w:t>
      </w:r>
      <w:r>
        <w:rPr>
          <w:rStyle w:val="27"/>
          <w:rFonts w:hint="eastAsia"/>
        </w:rPr>
        <w:t>　规划目标</w:t>
      </w:r>
      <w:r>
        <w:tab/>
      </w:r>
      <w:r>
        <w:fldChar w:fldCharType="begin"/>
      </w:r>
      <w:r>
        <w:instrText xml:space="preserve"> PAGEREF _Toc86914819 \h </w:instrText>
      </w:r>
      <w:r>
        <w:fldChar w:fldCharType="separate"/>
      </w:r>
      <w:r>
        <w:t>39</w:t>
      </w:r>
      <w:r>
        <w:fldChar w:fldCharType="end"/>
      </w:r>
      <w:r>
        <w:fldChar w:fldCharType="end"/>
      </w:r>
    </w:p>
    <w:p>
      <w:pPr>
        <w:pStyle w:val="16"/>
        <w:tabs>
          <w:tab w:val="right" w:leader="dot" w:pos="9060"/>
        </w:tabs>
        <w:rPr>
          <w:rFonts w:asciiTheme="minorHAnsi" w:hAnsiTheme="minorHAnsi" w:eastAsiaTheme="minorEastAsia" w:cstheme="minorBidi"/>
          <w:kern w:val="2"/>
          <w:sz w:val="21"/>
          <w:szCs w:val="22"/>
        </w:rPr>
      </w:pPr>
      <w:r>
        <w:fldChar w:fldCharType="begin"/>
      </w:r>
      <w:r>
        <w:instrText xml:space="preserve"> HYPERLINK \l "_Toc86914820" </w:instrText>
      </w:r>
      <w:r>
        <w:fldChar w:fldCharType="separate"/>
      </w:r>
      <w:r>
        <w:rPr>
          <w:rStyle w:val="27"/>
        </w:rPr>
        <w:t>3</w:t>
      </w:r>
      <w:r>
        <w:rPr>
          <w:rStyle w:val="27"/>
          <w:rFonts w:hint="eastAsia"/>
        </w:rPr>
        <w:t>　规划思路</w:t>
      </w:r>
      <w:r>
        <w:tab/>
      </w:r>
      <w:r>
        <w:fldChar w:fldCharType="begin"/>
      </w:r>
      <w:r>
        <w:instrText xml:space="preserve"> PAGEREF _Toc86914820 \h </w:instrText>
      </w:r>
      <w:r>
        <w:fldChar w:fldCharType="separate"/>
      </w:r>
      <w:r>
        <w:t>41</w:t>
      </w:r>
      <w:r>
        <w:fldChar w:fldCharType="end"/>
      </w:r>
      <w:r>
        <w:fldChar w:fldCharType="end"/>
      </w:r>
    </w:p>
    <w:p>
      <w:pPr>
        <w:pStyle w:val="16"/>
        <w:tabs>
          <w:tab w:val="right" w:leader="dot" w:pos="9060"/>
        </w:tabs>
        <w:rPr>
          <w:rFonts w:asciiTheme="minorHAnsi" w:hAnsiTheme="minorHAnsi" w:eastAsiaTheme="minorEastAsia" w:cstheme="minorBidi"/>
          <w:kern w:val="2"/>
          <w:sz w:val="21"/>
          <w:szCs w:val="22"/>
        </w:rPr>
      </w:pPr>
      <w:r>
        <w:fldChar w:fldCharType="begin"/>
      </w:r>
      <w:r>
        <w:instrText xml:space="preserve"> HYPERLINK \l "_Toc86914821" </w:instrText>
      </w:r>
      <w:r>
        <w:fldChar w:fldCharType="separate"/>
      </w:r>
      <w:r>
        <w:rPr>
          <w:rStyle w:val="27"/>
        </w:rPr>
        <w:t>4</w:t>
      </w:r>
      <w:r>
        <w:rPr>
          <w:rStyle w:val="27"/>
          <w:rFonts w:hint="eastAsia"/>
        </w:rPr>
        <w:t>　大中型水库移民后期扶持基金直接发放规划</w:t>
      </w:r>
      <w:r>
        <w:tab/>
      </w:r>
      <w:r>
        <w:fldChar w:fldCharType="begin"/>
      </w:r>
      <w:r>
        <w:instrText xml:space="preserve"> PAGEREF _Toc86914821 \h </w:instrText>
      </w:r>
      <w:r>
        <w:fldChar w:fldCharType="separate"/>
      </w:r>
      <w:r>
        <w:t>46</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"_Toc86914822" </w:instrText>
      </w:r>
      <w:r>
        <w:fldChar w:fldCharType="separate"/>
      </w:r>
      <w:r>
        <w:rPr>
          <w:rStyle w:val="27"/>
        </w:rPr>
        <w:t>4.1</w:t>
      </w:r>
      <w:r>
        <w:rPr>
          <w:rStyle w:val="27"/>
          <w:rFonts w:hint="eastAsia"/>
        </w:rPr>
        <w:t>　大中型水库移民后期扶持对象</w:t>
      </w:r>
      <w:r>
        <w:tab/>
      </w:r>
      <w:r>
        <w:fldChar w:fldCharType="begin"/>
      </w:r>
      <w:r>
        <w:instrText xml:space="preserve"> PAGEREF _Toc86914822 \h </w:instrText>
      </w:r>
      <w:r>
        <w:fldChar w:fldCharType="separate"/>
      </w:r>
      <w:r>
        <w:t>46</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"_Toc86914823" </w:instrText>
      </w:r>
      <w:r>
        <w:fldChar w:fldCharType="separate"/>
      </w:r>
      <w:r>
        <w:rPr>
          <w:rStyle w:val="27"/>
        </w:rPr>
        <w:t>4.2</w:t>
      </w:r>
      <w:r>
        <w:rPr>
          <w:rStyle w:val="27"/>
          <w:rFonts w:hint="eastAsia"/>
        </w:rPr>
        <w:t>　大中型水库移民后期扶持方式</w:t>
      </w:r>
      <w:r>
        <w:tab/>
      </w:r>
      <w:r>
        <w:fldChar w:fldCharType="begin"/>
      </w:r>
      <w:r>
        <w:instrText xml:space="preserve"> PAGEREF _Toc86914823 \h </w:instrText>
      </w:r>
      <w:r>
        <w:fldChar w:fldCharType="separate"/>
      </w:r>
      <w:r>
        <w:t>47</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"_Toc86914824" </w:instrText>
      </w:r>
      <w:r>
        <w:fldChar w:fldCharType="separate"/>
      </w:r>
      <w:r>
        <w:rPr>
          <w:rStyle w:val="27"/>
        </w:rPr>
        <w:t>4.3</w:t>
      </w:r>
      <w:r>
        <w:rPr>
          <w:rStyle w:val="27"/>
          <w:rFonts w:hint="eastAsia"/>
        </w:rPr>
        <w:t>　大中型水库移民后期扶持基金发放</w:t>
      </w:r>
      <w:r>
        <w:tab/>
      </w:r>
      <w:r>
        <w:fldChar w:fldCharType="begin"/>
      </w:r>
      <w:r>
        <w:instrText xml:space="preserve"> PAGEREF _Toc86914824 \h </w:instrText>
      </w:r>
      <w:r>
        <w:fldChar w:fldCharType="separate"/>
      </w:r>
      <w:r>
        <w:t>47</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"_Toc86914825" </w:instrText>
      </w:r>
      <w:r>
        <w:fldChar w:fldCharType="separate"/>
      </w:r>
      <w:r>
        <w:rPr>
          <w:rStyle w:val="27"/>
        </w:rPr>
        <w:t>4.4</w:t>
      </w:r>
      <w:r>
        <w:rPr>
          <w:rStyle w:val="27"/>
          <w:rFonts w:hint="eastAsia"/>
        </w:rPr>
        <w:t>　分年度发放金额及规划金额</w:t>
      </w:r>
      <w:r>
        <w:tab/>
      </w:r>
      <w:r>
        <w:fldChar w:fldCharType="begin"/>
      </w:r>
      <w:r>
        <w:instrText xml:space="preserve"> PAGEREF _Toc86914825 \h </w:instrText>
      </w:r>
      <w:r>
        <w:fldChar w:fldCharType="separate"/>
      </w:r>
      <w:r>
        <w:t>49</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"_Toc86914826" </w:instrText>
      </w:r>
      <w:r>
        <w:fldChar w:fldCharType="separate"/>
      </w:r>
      <w:r>
        <w:rPr>
          <w:rStyle w:val="27"/>
        </w:rPr>
        <w:t>4.5</w:t>
      </w:r>
      <w:r>
        <w:rPr>
          <w:rStyle w:val="27"/>
          <w:rFonts w:hint="eastAsia"/>
        </w:rPr>
        <w:t>　资金使用效益预测</w:t>
      </w:r>
      <w:r>
        <w:tab/>
      </w:r>
      <w:r>
        <w:fldChar w:fldCharType="begin"/>
      </w:r>
      <w:r>
        <w:instrText xml:space="preserve"> PAGEREF _Toc86914826 \h </w:instrText>
      </w:r>
      <w:r>
        <w:fldChar w:fldCharType="separate"/>
      </w:r>
      <w:r>
        <w:t>49</w:t>
      </w:r>
      <w:r>
        <w:fldChar w:fldCharType="end"/>
      </w:r>
      <w:r>
        <w:fldChar w:fldCharType="end"/>
      </w:r>
    </w:p>
    <w:p>
      <w:pPr>
        <w:pStyle w:val="16"/>
        <w:tabs>
          <w:tab w:val="right" w:leader="dot" w:pos="9060"/>
        </w:tabs>
        <w:rPr>
          <w:rFonts w:asciiTheme="minorHAnsi" w:hAnsiTheme="minorHAnsi" w:eastAsiaTheme="minorEastAsia" w:cstheme="minorBidi"/>
          <w:kern w:val="2"/>
          <w:sz w:val="21"/>
          <w:szCs w:val="22"/>
        </w:rPr>
      </w:pPr>
      <w:r>
        <w:fldChar w:fldCharType="begin"/>
      </w:r>
      <w:r>
        <w:instrText xml:space="preserve"> HYPERLINK \l "_Toc86914827" </w:instrText>
      </w:r>
      <w:r>
        <w:fldChar w:fldCharType="separate"/>
      </w:r>
      <w:r>
        <w:rPr>
          <w:rStyle w:val="27"/>
        </w:rPr>
        <w:t>5</w:t>
      </w:r>
      <w:r>
        <w:rPr>
          <w:rStyle w:val="27"/>
          <w:rFonts w:hint="eastAsia"/>
        </w:rPr>
        <w:t>　美丽家园</w:t>
      </w:r>
      <w:r>
        <w:rPr>
          <w:rStyle w:val="27"/>
        </w:rPr>
        <w:t>•</w:t>
      </w:r>
      <w:r>
        <w:rPr>
          <w:rStyle w:val="27"/>
          <w:rFonts w:hint="eastAsia"/>
        </w:rPr>
        <w:t>移民新村建设规划</w:t>
      </w:r>
      <w:r>
        <w:tab/>
      </w:r>
      <w:r>
        <w:fldChar w:fldCharType="begin"/>
      </w:r>
      <w:r>
        <w:instrText xml:space="preserve"> PAGEREF _Toc86914827 \h </w:instrText>
      </w:r>
      <w:r>
        <w:fldChar w:fldCharType="separate"/>
      </w:r>
      <w:r>
        <w:t>50</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"_Toc86914828" </w:instrText>
      </w:r>
      <w:r>
        <w:fldChar w:fldCharType="separate"/>
      </w:r>
      <w:r>
        <w:rPr>
          <w:rStyle w:val="27"/>
        </w:rPr>
        <w:t>5.1</w:t>
      </w:r>
      <w:r>
        <w:rPr>
          <w:rStyle w:val="27"/>
          <w:rFonts w:hint="eastAsia"/>
        </w:rPr>
        <w:t>　现状及存在的问题</w:t>
      </w:r>
      <w:r>
        <w:tab/>
      </w:r>
      <w:r>
        <w:fldChar w:fldCharType="begin"/>
      </w:r>
      <w:r>
        <w:instrText xml:space="preserve"> PAGEREF _Toc86914828 \h </w:instrText>
      </w:r>
      <w:r>
        <w:fldChar w:fldCharType="separate"/>
      </w:r>
      <w:r>
        <w:t>50</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"_Toc86914829" </w:instrText>
      </w:r>
      <w:r>
        <w:fldChar w:fldCharType="separate"/>
      </w:r>
      <w:r>
        <w:rPr>
          <w:rStyle w:val="27"/>
        </w:rPr>
        <w:t>5.2</w:t>
      </w:r>
      <w:r>
        <w:rPr>
          <w:rStyle w:val="27"/>
          <w:rFonts w:hint="eastAsia"/>
        </w:rPr>
        <w:t>　相关规划对移民村的定位</w:t>
      </w:r>
      <w:r>
        <w:tab/>
      </w:r>
      <w:r>
        <w:fldChar w:fldCharType="begin"/>
      </w:r>
      <w:r>
        <w:instrText xml:space="preserve"> PAGEREF _Toc86914829 \h </w:instrText>
      </w:r>
      <w:r>
        <w:fldChar w:fldCharType="separate"/>
      </w:r>
      <w:r>
        <w:t>52</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"_Toc86914830" </w:instrText>
      </w:r>
      <w:r>
        <w:fldChar w:fldCharType="separate"/>
      </w:r>
      <w:r>
        <w:rPr>
          <w:rStyle w:val="27"/>
        </w:rPr>
        <w:t>5.3</w:t>
      </w:r>
      <w:r>
        <w:rPr>
          <w:rStyle w:val="27"/>
          <w:rFonts w:hint="eastAsia"/>
        </w:rPr>
        <w:t>　规划原则</w:t>
      </w:r>
      <w:r>
        <w:tab/>
      </w:r>
      <w:r>
        <w:fldChar w:fldCharType="begin"/>
      </w:r>
      <w:r>
        <w:instrText xml:space="preserve"> PAGEREF _Toc86914830 \h </w:instrText>
      </w:r>
      <w:r>
        <w:fldChar w:fldCharType="separate"/>
      </w:r>
      <w:r>
        <w:t>52</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"_Toc86914831" </w:instrText>
      </w:r>
      <w:r>
        <w:fldChar w:fldCharType="separate"/>
      </w:r>
      <w:r>
        <w:rPr>
          <w:rStyle w:val="27"/>
        </w:rPr>
        <w:t>5.4</w:t>
      </w:r>
      <w:r>
        <w:rPr>
          <w:rStyle w:val="27"/>
          <w:rFonts w:hint="eastAsia"/>
        </w:rPr>
        <w:t>　扶持对象</w:t>
      </w:r>
      <w:r>
        <w:tab/>
      </w:r>
      <w:r>
        <w:fldChar w:fldCharType="begin"/>
      </w:r>
      <w:r>
        <w:instrText xml:space="preserve"> PAGEREF _Toc86914831 \h </w:instrText>
      </w:r>
      <w:r>
        <w:fldChar w:fldCharType="separate"/>
      </w:r>
      <w:r>
        <w:t>53</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"_Toc86914832" </w:instrText>
      </w:r>
      <w:r>
        <w:fldChar w:fldCharType="separate"/>
      </w:r>
      <w:r>
        <w:rPr>
          <w:rStyle w:val="27"/>
        </w:rPr>
        <w:t>5.5</w:t>
      </w:r>
      <w:r>
        <w:rPr>
          <w:rStyle w:val="27"/>
          <w:rFonts w:hint="eastAsia"/>
        </w:rPr>
        <w:t>　扶持方向及内容</w:t>
      </w:r>
      <w:r>
        <w:tab/>
      </w:r>
      <w:r>
        <w:fldChar w:fldCharType="begin"/>
      </w:r>
      <w:r>
        <w:instrText xml:space="preserve"> PAGEREF _Toc86914832 \h </w:instrText>
      </w:r>
      <w:r>
        <w:fldChar w:fldCharType="separate"/>
      </w:r>
      <w:r>
        <w:t>53</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"_Toc86914833" </w:instrText>
      </w:r>
      <w:r>
        <w:fldChar w:fldCharType="separate"/>
      </w:r>
      <w:r>
        <w:rPr>
          <w:rStyle w:val="27"/>
        </w:rPr>
        <w:t>5.6</w:t>
      </w:r>
      <w:r>
        <w:rPr>
          <w:rStyle w:val="27"/>
          <w:rFonts w:hint="eastAsia"/>
        </w:rPr>
        <w:t>　重大项目</w:t>
      </w:r>
      <w:r>
        <w:tab/>
      </w:r>
      <w:r>
        <w:fldChar w:fldCharType="begin"/>
      </w:r>
      <w:r>
        <w:instrText xml:space="preserve"> PAGEREF _Toc86914833 \h </w:instrText>
      </w:r>
      <w:r>
        <w:fldChar w:fldCharType="separate"/>
      </w:r>
      <w:r>
        <w:t>56</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"_Toc86914834" </w:instrText>
      </w:r>
      <w:r>
        <w:fldChar w:fldCharType="separate"/>
      </w:r>
      <w:r>
        <w:rPr>
          <w:rStyle w:val="27"/>
        </w:rPr>
        <w:t>5.7</w:t>
      </w:r>
      <w:r>
        <w:rPr>
          <w:rStyle w:val="27"/>
          <w:rFonts w:hint="eastAsia"/>
        </w:rPr>
        <w:t>　后期扶持资金安排</w:t>
      </w:r>
      <w:r>
        <w:tab/>
      </w:r>
      <w:r>
        <w:fldChar w:fldCharType="begin"/>
      </w:r>
      <w:r>
        <w:instrText xml:space="preserve"> PAGEREF _Toc86914834 \h </w:instrText>
      </w:r>
      <w:r>
        <w:fldChar w:fldCharType="separate"/>
      </w:r>
      <w:r>
        <w:t>64</w:t>
      </w:r>
      <w:r>
        <w:fldChar w:fldCharType="end"/>
      </w:r>
      <w:r>
        <w:fldChar w:fldCharType="end"/>
      </w:r>
    </w:p>
    <w:p>
      <w:pPr>
        <w:pStyle w:val="16"/>
        <w:tabs>
          <w:tab w:val="right" w:leader="dot" w:pos="9060"/>
        </w:tabs>
        <w:rPr>
          <w:rFonts w:asciiTheme="minorHAnsi" w:hAnsiTheme="minorHAnsi" w:eastAsiaTheme="minorEastAsia" w:cstheme="minorBidi"/>
          <w:kern w:val="2"/>
          <w:sz w:val="21"/>
          <w:szCs w:val="22"/>
        </w:rPr>
      </w:pPr>
      <w:r>
        <w:fldChar w:fldCharType="begin"/>
      </w:r>
      <w:r>
        <w:instrText xml:space="preserve"> HYPERLINK \l "_Toc86914835" </w:instrText>
      </w:r>
      <w:r>
        <w:fldChar w:fldCharType="separate"/>
      </w:r>
      <w:r>
        <w:rPr>
          <w:rStyle w:val="27"/>
        </w:rPr>
        <w:t>6</w:t>
      </w:r>
      <w:r>
        <w:rPr>
          <w:rStyle w:val="27"/>
          <w:rFonts w:hint="eastAsia"/>
        </w:rPr>
        <w:t>　产业转型升级规划</w:t>
      </w:r>
      <w:r>
        <w:tab/>
      </w:r>
      <w:r>
        <w:fldChar w:fldCharType="begin"/>
      </w:r>
      <w:r>
        <w:instrText xml:space="preserve"> PAGEREF _Toc86914835 \h </w:instrText>
      </w:r>
      <w:r>
        <w:fldChar w:fldCharType="separate"/>
      </w:r>
      <w:r>
        <w:t>66</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"_Toc86914836" </w:instrText>
      </w:r>
      <w:r>
        <w:fldChar w:fldCharType="separate"/>
      </w:r>
      <w:r>
        <w:rPr>
          <w:rStyle w:val="27"/>
        </w:rPr>
        <w:t>6.1</w:t>
      </w:r>
      <w:r>
        <w:rPr>
          <w:rStyle w:val="27"/>
          <w:rFonts w:hint="eastAsia"/>
        </w:rPr>
        <w:t>　现状及存在的问题</w:t>
      </w:r>
      <w:r>
        <w:tab/>
      </w:r>
      <w:r>
        <w:fldChar w:fldCharType="begin"/>
      </w:r>
      <w:r>
        <w:instrText xml:space="preserve"> PAGEREF _Toc86914836 \h </w:instrText>
      </w:r>
      <w:r>
        <w:fldChar w:fldCharType="separate"/>
      </w:r>
      <w:r>
        <w:t>66</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"_Toc86914837" </w:instrText>
      </w:r>
      <w:r>
        <w:fldChar w:fldCharType="separate"/>
      </w:r>
      <w:r>
        <w:rPr>
          <w:rStyle w:val="27"/>
        </w:rPr>
        <w:t>6.2</w:t>
      </w:r>
      <w:r>
        <w:rPr>
          <w:rStyle w:val="27"/>
          <w:rFonts w:hint="eastAsia"/>
        </w:rPr>
        <w:t>　相关规划对移民村的定位</w:t>
      </w:r>
      <w:r>
        <w:tab/>
      </w:r>
      <w:r>
        <w:fldChar w:fldCharType="begin"/>
      </w:r>
      <w:r>
        <w:instrText xml:space="preserve"> PAGEREF _Toc86914837 \h </w:instrText>
      </w:r>
      <w:r>
        <w:fldChar w:fldCharType="separate"/>
      </w:r>
      <w:r>
        <w:t>67</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"_Toc86914838" </w:instrText>
      </w:r>
      <w:r>
        <w:fldChar w:fldCharType="separate"/>
      </w:r>
      <w:r>
        <w:rPr>
          <w:rStyle w:val="27"/>
        </w:rPr>
        <w:t>6.3</w:t>
      </w:r>
      <w:r>
        <w:rPr>
          <w:rStyle w:val="27"/>
          <w:rFonts w:hint="eastAsia"/>
        </w:rPr>
        <w:t>　规划原则</w:t>
      </w:r>
      <w:r>
        <w:tab/>
      </w:r>
      <w:r>
        <w:fldChar w:fldCharType="begin"/>
      </w:r>
      <w:r>
        <w:instrText xml:space="preserve"> PAGEREF _Toc86914838 \h </w:instrText>
      </w:r>
      <w:r>
        <w:fldChar w:fldCharType="separate"/>
      </w:r>
      <w:r>
        <w:t>69</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"_Toc86914839" </w:instrText>
      </w:r>
      <w:r>
        <w:fldChar w:fldCharType="separate"/>
      </w:r>
      <w:r>
        <w:rPr>
          <w:rStyle w:val="27"/>
        </w:rPr>
        <w:t>6.4</w:t>
      </w:r>
      <w:r>
        <w:rPr>
          <w:rStyle w:val="27"/>
          <w:rFonts w:hint="eastAsia"/>
        </w:rPr>
        <w:t>　扶持对象</w:t>
      </w:r>
      <w:r>
        <w:tab/>
      </w:r>
      <w:r>
        <w:fldChar w:fldCharType="begin"/>
      </w:r>
      <w:r>
        <w:instrText xml:space="preserve"> PAGEREF _Toc86914839 \h </w:instrText>
      </w:r>
      <w:r>
        <w:fldChar w:fldCharType="separate"/>
      </w:r>
      <w:r>
        <w:t>69</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"_Toc86914840" </w:instrText>
      </w:r>
      <w:r>
        <w:fldChar w:fldCharType="separate"/>
      </w:r>
      <w:r>
        <w:rPr>
          <w:rStyle w:val="27"/>
        </w:rPr>
        <w:t>6.5</w:t>
      </w:r>
      <w:r>
        <w:rPr>
          <w:rStyle w:val="27"/>
          <w:rFonts w:hint="eastAsia"/>
        </w:rPr>
        <w:t>　扶持方向及内容</w:t>
      </w:r>
      <w:r>
        <w:tab/>
      </w:r>
      <w:r>
        <w:fldChar w:fldCharType="begin"/>
      </w:r>
      <w:r>
        <w:instrText xml:space="preserve"> PAGEREF _Toc86914840 \h </w:instrText>
      </w:r>
      <w:r>
        <w:fldChar w:fldCharType="separate"/>
      </w:r>
      <w:r>
        <w:t>69</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"_Toc86914841" </w:instrText>
      </w:r>
      <w:r>
        <w:fldChar w:fldCharType="separate"/>
      </w:r>
      <w:r>
        <w:rPr>
          <w:rStyle w:val="27"/>
        </w:rPr>
        <w:t>6.6</w:t>
      </w:r>
      <w:r>
        <w:rPr>
          <w:rStyle w:val="27"/>
          <w:rFonts w:hint="eastAsia"/>
        </w:rPr>
        <w:t>　重大项目</w:t>
      </w:r>
      <w:r>
        <w:tab/>
      </w:r>
      <w:r>
        <w:fldChar w:fldCharType="begin"/>
      </w:r>
      <w:r>
        <w:instrText xml:space="preserve"> PAGEREF _Toc86914841 \h </w:instrText>
      </w:r>
      <w:r>
        <w:fldChar w:fldCharType="separate"/>
      </w:r>
      <w:r>
        <w:t>75</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"_Toc86914842" </w:instrText>
      </w:r>
      <w:r>
        <w:fldChar w:fldCharType="separate"/>
      </w:r>
      <w:r>
        <w:rPr>
          <w:rStyle w:val="27"/>
        </w:rPr>
        <w:t>6.7</w:t>
      </w:r>
      <w:r>
        <w:rPr>
          <w:rStyle w:val="27"/>
          <w:rFonts w:hint="eastAsia"/>
        </w:rPr>
        <w:t>　后期扶持资金安排</w:t>
      </w:r>
      <w:r>
        <w:tab/>
      </w:r>
      <w:r>
        <w:fldChar w:fldCharType="begin"/>
      </w:r>
      <w:r>
        <w:instrText xml:space="preserve"> PAGEREF _Toc86914842 \h </w:instrText>
      </w:r>
      <w:r>
        <w:fldChar w:fldCharType="separate"/>
      </w:r>
      <w:r>
        <w:t>87</w:t>
      </w:r>
      <w:r>
        <w:fldChar w:fldCharType="end"/>
      </w:r>
      <w:r>
        <w:fldChar w:fldCharType="end"/>
      </w:r>
    </w:p>
    <w:p>
      <w:pPr>
        <w:pStyle w:val="16"/>
        <w:tabs>
          <w:tab w:val="right" w:leader="dot" w:pos="9060"/>
        </w:tabs>
        <w:rPr>
          <w:rFonts w:asciiTheme="minorHAnsi" w:hAnsiTheme="minorHAnsi" w:eastAsiaTheme="minorEastAsia" w:cstheme="minorBidi"/>
          <w:kern w:val="2"/>
          <w:sz w:val="21"/>
          <w:szCs w:val="22"/>
        </w:rPr>
      </w:pPr>
      <w:r>
        <w:fldChar w:fldCharType="begin"/>
      </w:r>
      <w:r>
        <w:instrText xml:space="preserve"> HYPERLINK \l "_Toc86914843" </w:instrText>
      </w:r>
      <w:r>
        <w:fldChar w:fldCharType="separate"/>
      </w:r>
      <w:r>
        <w:rPr>
          <w:rStyle w:val="27"/>
        </w:rPr>
        <w:t>7</w:t>
      </w:r>
      <w:r>
        <w:rPr>
          <w:rStyle w:val="27"/>
          <w:rFonts w:hint="eastAsia"/>
        </w:rPr>
        <w:t>　就业创业能力建设和就业扶持规划</w:t>
      </w:r>
      <w:r>
        <w:tab/>
      </w:r>
      <w:r>
        <w:fldChar w:fldCharType="begin"/>
      </w:r>
      <w:r>
        <w:instrText xml:space="preserve"> PAGEREF _Toc86914843 \h </w:instrText>
      </w:r>
      <w:r>
        <w:fldChar w:fldCharType="separate"/>
      </w:r>
      <w:r>
        <w:t>90</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"_Toc86914844" </w:instrText>
      </w:r>
      <w:r>
        <w:fldChar w:fldCharType="separate"/>
      </w:r>
      <w:r>
        <w:rPr>
          <w:rStyle w:val="27"/>
        </w:rPr>
        <w:t>7.1</w:t>
      </w:r>
      <w:r>
        <w:rPr>
          <w:rStyle w:val="27"/>
          <w:rFonts w:hint="eastAsia"/>
        </w:rPr>
        <w:t>　移民劳动力现状及存在的问题</w:t>
      </w:r>
      <w:r>
        <w:tab/>
      </w:r>
      <w:r>
        <w:fldChar w:fldCharType="begin"/>
      </w:r>
      <w:r>
        <w:instrText xml:space="preserve"> PAGEREF _Toc86914844 \h </w:instrText>
      </w:r>
      <w:r>
        <w:fldChar w:fldCharType="separate"/>
      </w:r>
      <w:r>
        <w:t>90</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"_Toc86914845" </w:instrText>
      </w:r>
      <w:r>
        <w:fldChar w:fldCharType="separate"/>
      </w:r>
      <w:r>
        <w:rPr>
          <w:rStyle w:val="27"/>
        </w:rPr>
        <w:t>7.2</w:t>
      </w:r>
      <w:r>
        <w:rPr>
          <w:rStyle w:val="27"/>
          <w:rFonts w:hint="eastAsia"/>
        </w:rPr>
        <w:t>　规划原则</w:t>
      </w:r>
      <w:r>
        <w:tab/>
      </w:r>
      <w:r>
        <w:fldChar w:fldCharType="begin"/>
      </w:r>
      <w:r>
        <w:instrText xml:space="preserve"> PAGEREF _Toc86914845 \h </w:instrText>
      </w:r>
      <w:r>
        <w:fldChar w:fldCharType="separate"/>
      </w:r>
      <w:r>
        <w:t>91</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"_Toc86914846" </w:instrText>
      </w:r>
      <w:r>
        <w:fldChar w:fldCharType="separate"/>
      </w:r>
      <w:r>
        <w:rPr>
          <w:rStyle w:val="27"/>
        </w:rPr>
        <w:t>7.3</w:t>
      </w:r>
      <w:r>
        <w:rPr>
          <w:rStyle w:val="27"/>
          <w:rFonts w:hint="eastAsia"/>
        </w:rPr>
        <w:t>　培训内容</w:t>
      </w:r>
      <w:r>
        <w:tab/>
      </w:r>
      <w:r>
        <w:fldChar w:fldCharType="begin"/>
      </w:r>
      <w:r>
        <w:instrText xml:space="preserve"> PAGEREF _Toc86914846 \h </w:instrText>
      </w:r>
      <w:r>
        <w:fldChar w:fldCharType="separate"/>
      </w:r>
      <w:r>
        <w:t>91</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"_Toc86914847" </w:instrText>
      </w:r>
      <w:r>
        <w:fldChar w:fldCharType="separate"/>
      </w:r>
      <w:r>
        <w:rPr>
          <w:rStyle w:val="27"/>
        </w:rPr>
        <w:t>7.4</w:t>
      </w:r>
      <w:r>
        <w:rPr>
          <w:rStyle w:val="27"/>
          <w:rFonts w:hint="eastAsia"/>
        </w:rPr>
        <w:t>　就业扶持</w:t>
      </w:r>
      <w:r>
        <w:tab/>
      </w:r>
      <w:r>
        <w:fldChar w:fldCharType="begin"/>
      </w:r>
      <w:r>
        <w:instrText xml:space="preserve"> PAGEREF _Toc86914847 \h </w:instrText>
      </w:r>
      <w:r>
        <w:fldChar w:fldCharType="separate"/>
      </w:r>
      <w:r>
        <w:t>94</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"_Toc86914848" </w:instrText>
      </w:r>
      <w:r>
        <w:fldChar w:fldCharType="separate"/>
      </w:r>
      <w:r>
        <w:rPr>
          <w:rStyle w:val="27"/>
        </w:rPr>
        <w:t>7.5</w:t>
      </w:r>
      <w:r>
        <w:rPr>
          <w:rStyle w:val="27"/>
          <w:rFonts w:hint="eastAsia"/>
        </w:rPr>
        <w:t>　后期扶持资金安排</w:t>
      </w:r>
      <w:r>
        <w:tab/>
      </w:r>
      <w:r>
        <w:fldChar w:fldCharType="begin"/>
      </w:r>
      <w:r>
        <w:instrText xml:space="preserve"> PAGEREF _Toc86914848 \h </w:instrText>
      </w:r>
      <w:r>
        <w:fldChar w:fldCharType="separate"/>
      </w:r>
      <w:r>
        <w:t>94</w:t>
      </w:r>
      <w:r>
        <w:fldChar w:fldCharType="end"/>
      </w:r>
      <w:r>
        <w:fldChar w:fldCharType="end"/>
      </w:r>
    </w:p>
    <w:p>
      <w:pPr>
        <w:pStyle w:val="16"/>
        <w:tabs>
          <w:tab w:val="right" w:leader="dot" w:pos="9060"/>
        </w:tabs>
        <w:rPr>
          <w:rFonts w:asciiTheme="minorHAnsi" w:hAnsiTheme="minorHAnsi" w:eastAsiaTheme="minorEastAsia" w:cstheme="minorBidi"/>
          <w:kern w:val="2"/>
          <w:sz w:val="21"/>
          <w:szCs w:val="22"/>
        </w:rPr>
      </w:pPr>
      <w:r>
        <w:fldChar w:fldCharType="begin"/>
      </w:r>
      <w:r>
        <w:instrText xml:space="preserve"> HYPERLINK \l "_Toc86914849" </w:instrText>
      </w:r>
      <w:r>
        <w:fldChar w:fldCharType="separate"/>
      </w:r>
      <w:r>
        <w:rPr>
          <w:rStyle w:val="27"/>
        </w:rPr>
        <w:t>8</w:t>
      </w:r>
      <w:r>
        <w:rPr>
          <w:rStyle w:val="27"/>
          <w:rFonts w:hint="eastAsia"/>
        </w:rPr>
        <w:t>　后期扶持资金安排及年度计划</w:t>
      </w:r>
      <w:r>
        <w:tab/>
      </w:r>
      <w:r>
        <w:fldChar w:fldCharType="begin"/>
      </w:r>
      <w:r>
        <w:instrText xml:space="preserve"> PAGEREF _Toc86914849 \h </w:instrText>
      </w:r>
      <w:r>
        <w:fldChar w:fldCharType="separate"/>
      </w:r>
      <w:r>
        <w:t>96</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"_Toc86914850" </w:instrText>
      </w:r>
      <w:r>
        <w:fldChar w:fldCharType="separate"/>
      </w:r>
      <w:r>
        <w:rPr>
          <w:rStyle w:val="27"/>
        </w:rPr>
        <w:t>8.1</w:t>
      </w:r>
      <w:r>
        <w:rPr>
          <w:rStyle w:val="27"/>
          <w:rFonts w:hint="eastAsia"/>
        </w:rPr>
        <w:t>　投资估算</w:t>
      </w:r>
      <w:r>
        <w:tab/>
      </w:r>
      <w:r>
        <w:fldChar w:fldCharType="begin"/>
      </w:r>
      <w:r>
        <w:instrText xml:space="preserve"> PAGEREF _Toc86914850 \h </w:instrText>
      </w:r>
      <w:r>
        <w:fldChar w:fldCharType="separate"/>
      </w:r>
      <w:r>
        <w:t>96</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"_Toc86914851" </w:instrText>
      </w:r>
      <w:r>
        <w:fldChar w:fldCharType="separate"/>
      </w:r>
      <w:r>
        <w:rPr>
          <w:rStyle w:val="27"/>
        </w:rPr>
        <w:t>8.2</w:t>
      </w:r>
      <w:r>
        <w:rPr>
          <w:rStyle w:val="27"/>
          <w:rFonts w:hint="eastAsia"/>
        </w:rPr>
        <w:t>　资金筹措</w:t>
      </w:r>
      <w:r>
        <w:tab/>
      </w:r>
      <w:r>
        <w:fldChar w:fldCharType="begin"/>
      </w:r>
      <w:r>
        <w:instrText xml:space="preserve"> PAGEREF _Toc86914851 \h </w:instrText>
      </w:r>
      <w:r>
        <w:fldChar w:fldCharType="separate"/>
      </w:r>
      <w:r>
        <w:t>96</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"_Toc86914852" </w:instrText>
      </w:r>
      <w:r>
        <w:fldChar w:fldCharType="separate"/>
      </w:r>
      <w:r>
        <w:rPr>
          <w:rStyle w:val="27"/>
        </w:rPr>
        <w:t>8.3</w:t>
      </w:r>
      <w:r>
        <w:rPr>
          <w:rStyle w:val="27"/>
          <w:rFonts w:hint="eastAsia"/>
        </w:rPr>
        <w:t>　年度计划</w:t>
      </w:r>
      <w:r>
        <w:tab/>
      </w:r>
      <w:r>
        <w:fldChar w:fldCharType="begin"/>
      </w:r>
      <w:r>
        <w:instrText xml:space="preserve"> PAGEREF _Toc86914852 \h </w:instrText>
      </w:r>
      <w:r>
        <w:fldChar w:fldCharType="separate"/>
      </w:r>
      <w:r>
        <w:t>96</w:t>
      </w:r>
      <w:r>
        <w:fldChar w:fldCharType="end"/>
      </w:r>
      <w:r>
        <w:fldChar w:fldCharType="end"/>
      </w:r>
    </w:p>
    <w:p>
      <w:pPr>
        <w:pStyle w:val="16"/>
        <w:tabs>
          <w:tab w:val="right" w:leader="dot" w:pos="9060"/>
        </w:tabs>
        <w:rPr>
          <w:rFonts w:asciiTheme="minorHAnsi" w:hAnsiTheme="minorHAnsi" w:eastAsiaTheme="minorEastAsia" w:cstheme="minorBidi"/>
          <w:kern w:val="2"/>
          <w:sz w:val="21"/>
          <w:szCs w:val="22"/>
        </w:rPr>
      </w:pPr>
      <w:r>
        <w:fldChar w:fldCharType="begin"/>
      </w:r>
      <w:r>
        <w:instrText xml:space="preserve"> HYPERLINK \l "_Toc86914853" </w:instrText>
      </w:r>
      <w:r>
        <w:fldChar w:fldCharType="separate"/>
      </w:r>
      <w:r>
        <w:rPr>
          <w:rStyle w:val="27"/>
        </w:rPr>
        <w:t>9</w:t>
      </w:r>
      <w:r>
        <w:rPr>
          <w:rStyle w:val="27"/>
          <w:rFonts w:hint="eastAsia"/>
        </w:rPr>
        <w:t>　规划实施效果预测分析</w:t>
      </w:r>
      <w:r>
        <w:tab/>
      </w:r>
      <w:r>
        <w:fldChar w:fldCharType="begin"/>
      </w:r>
      <w:r>
        <w:instrText xml:space="preserve"> PAGEREF _Toc86914853 \h </w:instrText>
      </w:r>
      <w:r>
        <w:fldChar w:fldCharType="separate"/>
      </w:r>
      <w:r>
        <w:t>97</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"_Toc86914854" </w:instrText>
      </w:r>
      <w:r>
        <w:fldChar w:fldCharType="separate"/>
      </w:r>
      <w:r>
        <w:rPr>
          <w:rStyle w:val="27"/>
        </w:rPr>
        <w:t>9.1</w:t>
      </w:r>
      <w:r>
        <w:rPr>
          <w:rStyle w:val="27"/>
          <w:rFonts w:hint="eastAsia"/>
        </w:rPr>
        <w:t>　经济效益</w:t>
      </w:r>
      <w:r>
        <w:tab/>
      </w:r>
      <w:r>
        <w:fldChar w:fldCharType="begin"/>
      </w:r>
      <w:r>
        <w:instrText xml:space="preserve"> PAGEREF _Toc86914854 \h </w:instrText>
      </w:r>
      <w:r>
        <w:fldChar w:fldCharType="separate"/>
      </w:r>
      <w:r>
        <w:t>97</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"_Toc86914855" </w:instrText>
      </w:r>
      <w:r>
        <w:fldChar w:fldCharType="separate"/>
      </w:r>
      <w:r>
        <w:rPr>
          <w:rStyle w:val="27"/>
        </w:rPr>
        <w:t>9.2</w:t>
      </w:r>
      <w:r>
        <w:rPr>
          <w:rStyle w:val="27"/>
          <w:rFonts w:hint="eastAsia"/>
        </w:rPr>
        <w:t>　社会效益</w:t>
      </w:r>
      <w:r>
        <w:tab/>
      </w:r>
      <w:r>
        <w:fldChar w:fldCharType="begin"/>
      </w:r>
      <w:r>
        <w:instrText xml:space="preserve"> PAGEREF _Toc86914855 \h </w:instrText>
      </w:r>
      <w:r>
        <w:fldChar w:fldCharType="separate"/>
      </w:r>
      <w:r>
        <w:t>97</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"_Toc86914856" </w:instrText>
      </w:r>
      <w:r>
        <w:fldChar w:fldCharType="separate"/>
      </w:r>
      <w:r>
        <w:rPr>
          <w:rStyle w:val="27"/>
        </w:rPr>
        <w:t>9.3</w:t>
      </w:r>
      <w:r>
        <w:rPr>
          <w:rStyle w:val="27"/>
          <w:rFonts w:hint="eastAsia"/>
        </w:rPr>
        <w:t>　生态效益</w:t>
      </w:r>
      <w:r>
        <w:tab/>
      </w:r>
      <w:r>
        <w:fldChar w:fldCharType="begin"/>
      </w:r>
      <w:r>
        <w:instrText xml:space="preserve"> PAGEREF _Toc86914856 \h </w:instrText>
      </w:r>
      <w:r>
        <w:fldChar w:fldCharType="separate"/>
      </w:r>
      <w:r>
        <w:t>98</w:t>
      </w:r>
      <w:r>
        <w:fldChar w:fldCharType="end"/>
      </w:r>
      <w:r>
        <w:fldChar w:fldCharType="end"/>
      </w:r>
    </w:p>
    <w:p>
      <w:pPr>
        <w:pStyle w:val="16"/>
        <w:tabs>
          <w:tab w:val="right" w:leader="dot" w:pos="9060"/>
        </w:tabs>
        <w:rPr>
          <w:rFonts w:asciiTheme="minorHAnsi" w:hAnsiTheme="minorHAnsi" w:eastAsiaTheme="minorEastAsia" w:cstheme="minorBidi"/>
          <w:kern w:val="2"/>
          <w:sz w:val="21"/>
          <w:szCs w:val="22"/>
        </w:rPr>
      </w:pPr>
      <w:r>
        <w:fldChar w:fldCharType="begin"/>
      </w:r>
      <w:r>
        <w:instrText xml:space="preserve"> HYPERLINK \l "_Toc86914857" </w:instrText>
      </w:r>
      <w:r>
        <w:fldChar w:fldCharType="separate"/>
      </w:r>
      <w:r>
        <w:rPr>
          <w:rStyle w:val="27"/>
          <w:rFonts w:hint="eastAsia"/>
        </w:rPr>
        <w:t>第三篇　保障措施</w:t>
      </w:r>
      <w:r>
        <w:tab/>
      </w:r>
      <w:r>
        <w:fldChar w:fldCharType="begin"/>
      </w:r>
      <w:r>
        <w:instrText xml:space="preserve"> PAGEREF _Toc86914857 \h </w:instrText>
      </w:r>
      <w:r>
        <w:fldChar w:fldCharType="separate"/>
      </w:r>
      <w:r>
        <w:t>99</w:t>
      </w:r>
      <w:r>
        <w:fldChar w:fldCharType="end"/>
      </w:r>
      <w:r>
        <w:fldChar w:fldCharType="end"/>
      </w:r>
    </w:p>
    <w:p>
      <w:pPr>
        <w:pStyle w:val="16"/>
        <w:tabs>
          <w:tab w:val="right" w:leader="dot" w:pos="9060"/>
        </w:tabs>
        <w:rPr>
          <w:rFonts w:asciiTheme="minorHAnsi" w:hAnsiTheme="minorHAnsi" w:eastAsiaTheme="minorEastAsia" w:cstheme="minorBidi"/>
          <w:kern w:val="2"/>
          <w:sz w:val="21"/>
          <w:szCs w:val="22"/>
        </w:rPr>
      </w:pPr>
      <w:r>
        <w:fldChar w:fldCharType="begin"/>
      </w:r>
      <w:r>
        <w:instrText xml:space="preserve"> HYPERLINK \l "_Toc86914858" </w:instrText>
      </w:r>
      <w:r>
        <w:fldChar w:fldCharType="separate"/>
      </w:r>
      <w:r>
        <w:rPr>
          <w:rStyle w:val="27"/>
        </w:rPr>
        <w:t>1</w:t>
      </w:r>
      <w:r>
        <w:rPr>
          <w:rStyle w:val="27"/>
          <w:rFonts w:hint="eastAsia"/>
        </w:rPr>
        <w:t>　机构保障</w:t>
      </w:r>
      <w:r>
        <w:tab/>
      </w:r>
      <w:r>
        <w:fldChar w:fldCharType="begin"/>
      </w:r>
      <w:r>
        <w:instrText xml:space="preserve"> PAGEREF _Toc86914858 \h </w:instrText>
      </w:r>
      <w:r>
        <w:fldChar w:fldCharType="separate"/>
      </w:r>
      <w:r>
        <w:t>99</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"_Toc86914859" </w:instrText>
      </w:r>
      <w:r>
        <w:fldChar w:fldCharType="separate"/>
      </w:r>
      <w:r>
        <w:rPr>
          <w:rStyle w:val="27"/>
        </w:rPr>
        <w:t>1.1</w:t>
      </w:r>
      <w:r>
        <w:rPr>
          <w:rStyle w:val="27"/>
          <w:rFonts w:hint="eastAsia"/>
        </w:rPr>
        <w:t>　工作组织机构</w:t>
      </w:r>
      <w:r>
        <w:tab/>
      </w:r>
      <w:r>
        <w:fldChar w:fldCharType="begin"/>
      </w:r>
      <w:r>
        <w:instrText xml:space="preserve"> PAGEREF _Toc86914859 \h </w:instrText>
      </w:r>
      <w:r>
        <w:fldChar w:fldCharType="separate"/>
      </w:r>
      <w:r>
        <w:t>99</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"_Toc86914860" </w:instrText>
      </w:r>
      <w:r>
        <w:fldChar w:fldCharType="separate"/>
      </w:r>
      <w:r>
        <w:rPr>
          <w:rStyle w:val="27"/>
        </w:rPr>
        <w:t>1.2</w:t>
      </w:r>
      <w:r>
        <w:rPr>
          <w:rStyle w:val="27"/>
          <w:rFonts w:hint="eastAsia"/>
        </w:rPr>
        <w:t>　工作职责及分工</w:t>
      </w:r>
      <w:r>
        <w:tab/>
      </w:r>
      <w:r>
        <w:fldChar w:fldCharType="begin"/>
      </w:r>
      <w:r>
        <w:instrText xml:space="preserve"> PAGEREF _Toc86914860 \h </w:instrText>
      </w:r>
      <w:r>
        <w:fldChar w:fldCharType="separate"/>
      </w:r>
      <w:r>
        <w:t>99</w:t>
      </w:r>
      <w:r>
        <w:fldChar w:fldCharType="end"/>
      </w:r>
      <w:r>
        <w:fldChar w:fldCharType="end"/>
      </w:r>
    </w:p>
    <w:p>
      <w:pPr>
        <w:pStyle w:val="16"/>
        <w:tabs>
          <w:tab w:val="right" w:leader="dot" w:pos="9060"/>
        </w:tabs>
        <w:rPr>
          <w:rFonts w:asciiTheme="minorHAnsi" w:hAnsiTheme="minorHAnsi" w:eastAsiaTheme="minorEastAsia" w:cstheme="minorBidi"/>
          <w:kern w:val="2"/>
          <w:sz w:val="21"/>
          <w:szCs w:val="22"/>
        </w:rPr>
      </w:pPr>
      <w:r>
        <w:fldChar w:fldCharType="begin"/>
      </w:r>
      <w:r>
        <w:instrText xml:space="preserve"> HYPERLINK \l "_Toc86914861" </w:instrText>
      </w:r>
      <w:r>
        <w:fldChar w:fldCharType="separate"/>
      </w:r>
      <w:r>
        <w:rPr>
          <w:rStyle w:val="27"/>
        </w:rPr>
        <w:t>2</w:t>
      </w:r>
      <w:r>
        <w:rPr>
          <w:rStyle w:val="27"/>
          <w:rFonts w:hint="eastAsia"/>
        </w:rPr>
        <w:t>　人员保障</w:t>
      </w:r>
      <w:r>
        <w:tab/>
      </w:r>
      <w:r>
        <w:fldChar w:fldCharType="begin"/>
      </w:r>
      <w:r>
        <w:instrText xml:space="preserve"> PAGEREF _Toc86914861 \h </w:instrText>
      </w:r>
      <w:r>
        <w:fldChar w:fldCharType="separate"/>
      </w:r>
      <w:r>
        <w:t>101</w:t>
      </w:r>
      <w:r>
        <w:fldChar w:fldCharType="end"/>
      </w:r>
      <w:r>
        <w:fldChar w:fldCharType="end"/>
      </w:r>
    </w:p>
    <w:p>
      <w:pPr>
        <w:pStyle w:val="16"/>
        <w:tabs>
          <w:tab w:val="right" w:leader="dot" w:pos="9060"/>
        </w:tabs>
        <w:rPr>
          <w:rFonts w:asciiTheme="minorHAnsi" w:hAnsiTheme="minorHAnsi" w:eastAsiaTheme="minorEastAsia" w:cstheme="minorBidi"/>
          <w:kern w:val="2"/>
          <w:sz w:val="21"/>
          <w:szCs w:val="22"/>
        </w:rPr>
      </w:pPr>
      <w:r>
        <w:fldChar w:fldCharType="begin"/>
      </w:r>
      <w:r>
        <w:instrText xml:space="preserve"> HYPERLINK \l "_Toc86914862" </w:instrText>
      </w:r>
      <w:r>
        <w:fldChar w:fldCharType="separate"/>
      </w:r>
      <w:r>
        <w:rPr>
          <w:rStyle w:val="27"/>
        </w:rPr>
        <w:t>3</w:t>
      </w:r>
      <w:r>
        <w:rPr>
          <w:rStyle w:val="27"/>
          <w:rFonts w:hint="eastAsia"/>
        </w:rPr>
        <w:t>　能力保障</w:t>
      </w:r>
      <w:r>
        <w:tab/>
      </w:r>
      <w:r>
        <w:fldChar w:fldCharType="begin"/>
      </w:r>
      <w:r>
        <w:instrText xml:space="preserve"> PAGEREF _Toc86914862 \h </w:instrText>
      </w:r>
      <w:r>
        <w:fldChar w:fldCharType="separate"/>
      </w:r>
      <w:r>
        <w:t>102</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"_Toc86914863" </w:instrText>
      </w:r>
      <w:r>
        <w:fldChar w:fldCharType="separate"/>
      </w:r>
      <w:r>
        <w:rPr>
          <w:rStyle w:val="27"/>
        </w:rPr>
        <w:t>3.1</w:t>
      </w:r>
      <w:r>
        <w:rPr>
          <w:rStyle w:val="27"/>
          <w:rFonts w:hint="eastAsia"/>
        </w:rPr>
        <w:t>　能力素质短板</w:t>
      </w:r>
      <w:r>
        <w:tab/>
      </w:r>
      <w:r>
        <w:fldChar w:fldCharType="begin"/>
      </w:r>
      <w:r>
        <w:instrText xml:space="preserve"> PAGEREF _Toc86914863 \h </w:instrText>
      </w:r>
      <w:r>
        <w:fldChar w:fldCharType="separate"/>
      </w:r>
      <w:r>
        <w:t>102</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"_Toc86914864" </w:instrText>
      </w:r>
      <w:r>
        <w:fldChar w:fldCharType="separate"/>
      </w:r>
      <w:r>
        <w:rPr>
          <w:rStyle w:val="27"/>
        </w:rPr>
        <w:t>3.2</w:t>
      </w:r>
      <w:r>
        <w:rPr>
          <w:rStyle w:val="27"/>
          <w:rFonts w:hint="eastAsia"/>
        </w:rPr>
        <w:t>　增强能力措施</w:t>
      </w:r>
      <w:r>
        <w:tab/>
      </w:r>
      <w:r>
        <w:fldChar w:fldCharType="begin"/>
      </w:r>
      <w:r>
        <w:instrText xml:space="preserve"> PAGEREF _Toc86914864 \h </w:instrText>
      </w:r>
      <w:r>
        <w:fldChar w:fldCharType="separate"/>
      </w:r>
      <w:r>
        <w:t>102</w:t>
      </w:r>
      <w:r>
        <w:fldChar w:fldCharType="end"/>
      </w:r>
      <w:r>
        <w:fldChar w:fldCharType="end"/>
      </w:r>
    </w:p>
    <w:p>
      <w:pPr>
        <w:pStyle w:val="16"/>
        <w:tabs>
          <w:tab w:val="right" w:leader="dot" w:pos="9060"/>
        </w:tabs>
        <w:rPr>
          <w:rFonts w:asciiTheme="minorHAnsi" w:hAnsiTheme="minorHAnsi" w:eastAsiaTheme="minorEastAsia" w:cstheme="minorBidi"/>
          <w:kern w:val="2"/>
          <w:sz w:val="21"/>
          <w:szCs w:val="22"/>
        </w:rPr>
      </w:pPr>
      <w:r>
        <w:fldChar w:fldCharType="begin"/>
      </w:r>
      <w:r>
        <w:instrText xml:space="preserve"> HYPERLINK \l "_Toc86914865" </w:instrText>
      </w:r>
      <w:r>
        <w:fldChar w:fldCharType="separate"/>
      </w:r>
      <w:r>
        <w:rPr>
          <w:rStyle w:val="27"/>
        </w:rPr>
        <w:t>4</w:t>
      </w:r>
      <w:r>
        <w:rPr>
          <w:rStyle w:val="27"/>
          <w:rFonts w:hint="eastAsia"/>
        </w:rPr>
        <w:t>　作风保障</w:t>
      </w:r>
      <w:r>
        <w:tab/>
      </w:r>
      <w:r>
        <w:fldChar w:fldCharType="begin"/>
      </w:r>
      <w:r>
        <w:instrText xml:space="preserve"> PAGEREF _Toc86914865 \h </w:instrText>
      </w:r>
      <w:r>
        <w:fldChar w:fldCharType="separate"/>
      </w:r>
      <w:r>
        <w:t>103</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"_Toc86914866" </w:instrText>
      </w:r>
      <w:r>
        <w:fldChar w:fldCharType="separate"/>
      </w:r>
      <w:r>
        <w:rPr>
          <w:rStyle w:val="27"/>
        </w:rPr>
        <w:t>4.1</w:t>
      </w:r>
      <w:r>
        <w:rPr>
          <w:rStyle w:val="27"/>
          <w:rFonts w:hint="eastAsia"/>
        </w:rPr>
        <w:t>　制度建设</w:t>
      </w:r>
      <w:r>
        <w:tab/>
      </w:r>
      <w:r>
        <w:fldChar w:fldCharType="begin"/>
      </w:r>
      <w:r>
        <w:instrText xml:space="preserve"> PAGEREF _Toc86914866 \h </w:instrText>
      </w:r>
      <w:r>
        <w:fldChar w:fldCharType="separate"/>
      </w:r>
      <w:r>
        <w:t>103</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"_Toc86914867" </w:instrText>
      </w:r>
      <w:r>
        <w:fldChar w:fldCharType="separate"/>
      </w:r>
      <w:r>
        <w:rPr>
          <w:rStyle w:val="27"/>
        </w:rPr>
        <w:t>4.2</w:t>
      </w:r>
      <w:r>
        <w:rPr>
          <w:rStyle w:val="27"/>
          <w:rFonts w:hint="eastAsia"/>
        </w:rPr>
        <w:t>　专项行动</w:t>
      </w:r>
      <w:r>
        <w:tab/>
      </w:r>
      <w:r>
        <w:fldChar w:fldCharType="begin"/>
      </w:r>
      <w:r>
        <w:instrText xml:space="preserve"> PAGEREF _Toc86914867 \h </w:instrText>
      </w:r>
      <w:r>
        <w:fldChar w:fldCharType="separate"/>
      </w:r>
      <w:r>
        <w:t>103</w:t>
      </w:r>
      <w:r>
        <w:fldChar w:fldCharType="end"/>
      </w:r>
      <w:r>
        <w:fldChar w:fldCharType="end"/>
      </w:r>
    </w:p>
    <w:p>
      <w:pPr>
        <w:pStyle w:val="16"/>
        <w:tabs>
          <w:tab w:val="right" w:leader="dot" w:pos="9060"/>
        </w:tabs>
        <w:rPr>
          <w:rFonts w:asciiTheme="minorHAnsi" w:hAnsiTheme="minorHAnsi" w:eastAsiaTheme="minorEastAsia" w:cstheme="minorBidi"/>
          <w:kern w:val="2"/>
          <w:sz w:val="21"/>
          <w:szCs w:val="22"/>
        </w:rPr>
      </w:pPr>
      <w:r>
        <w:fldChar w:fldCharType="begin"/>
      </w:r>
      <w:r>
        <w:instrText xml:space="preserve"> HYPERLINK \l "_Toc86914868" </w:instrText>
      </w:r>
      <w:r>
        <w:fldChar w:fldCharType="separate"/>
      </w:r>
      <w:r>
        <w:rPr>
          <w:rStyle w:val="27"/>
        </w:rPr>
        <w:t>5</w:t>
      </w:r>
      <w:r>
        <w:rPr>
          <w:rStyle w:val="27"/>
          <w:rFonts w:hint="eastAsia"/>
        </w:rPr>
        <w:t>　纪律保障</w:t>
      </w:r>
      <w:r>
        <w:tab/>
      </w:r>
      <w:r>
        <w:fldChar w:fldCharType="begin"/>
      </w:r>
      <w:r>
        <w:instrText xml:space="preserve"> PAGEREF _Toc86914868 \h </w:instrText>
      </w:r>
      <w:r>
        <w:fldChar w:fldCharType="separate"/>
      </w:r>
      <w:r>
        <w:t>104</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"_Toc86914869" </w:instrText>
      </w:r>
      <w:r>
        <w:fldChar w:fldCharType="separate"/>
      </w:r>
      <w:r>
        <w:rPr>
          <w:rStyle w:val="27"/>
        </w:rPr>
        <w:t>5.1</w:t>
      </w:r>
      <w:r>
        <w:rPr>
          <w:rStyle w:val="27"/>
          <w:rFonts w:hint="eastAsia"/>
        </w:rPr>
        <w:t>　全面从严治党和党风廉政建设及反腐败工作</w:t>
      </w:r>
      <w:r>
        <w:tab/>
      </w:r>
      <w:r>
        <w:fldChar w:fldCharType="begin"/>
      </w:r>
      <w:r>
        <w:instrText xml:space="preserve"> PAGEREF _Toc86914869 \h </w:instrText>
      </w:r>
      <w:r>
        <w:fldChar w:fldCharType="separate"/>
      </w:r>
      <w:r>
        <w:t>104</w:t>
      </w:r>
      <w:r>
        <w:fldChar w:fldCharType="end"/>
      </w:r>
      <w:r>
        <w:fldChar w:fldCharType="end"/>
      </w:r>
    </w:p>
    <w:p>
      <w:pPr>
        <w:pStyle w:val="20"/>
        <w:rPr>
          <w:rFonts w:asciiTheme="minorHAnsi" w:hAnsiTheme="minorHAnsi" w:eastAsiaTheme="minorEastAsia" w:cstheme="minorBidi"/>
          <w:kern w:val="2"/>
          <w:sz w:val="21"/>
          <w:szCs w:val="22"/>
        </w:rPr>
      </w:pPr>
      <w:r>
        <w:fldChar w:fldCharType="begin"/>
      </w:r>
      <w:r>
        <w:instrText xml:space="preserve"> HYPERLINK \l "_Toc86914870" </w:instrText>
      </w:r>
      <w:r>
        <w:fldChar w:fldCharType="separate"/>
      </w:r>
      <w:r>
        <w:rPr>
          <w:rStyle w:val="27"/>
        </w:rPr>
        <w:t>5.2</w:t>
      </w:r>
      <w:r>
        <w:rPr>
          <w:rStyle w:val="27"/>
          <w:rFonts w:hint="eastAsia"/>
        </w:rPr>
        <w:t>　防控长效机制与措施</w:t>
      </w:r>
      <w:r>
        <w:tab/>
      </w:r>
      <w:r>
        <w:fldChar w:fldCharType="begin"/>
      </w:r>
      <w:r>
        <w:instrText xml:space="preserve"> PAGEREF _Toc86914870 \h </w:instrText>
      </w:r>
      <w:r>
        <w:fldChar w:fldCharType="separate"/>
      </w:r>
      <w:r>
        <w:t>104</w:t>
      </w:r>
      <w:r>
        <w:fldChar w:fldCharType="end"/>
      </w:r>
      <w:r>
        <w:fldChar w:fldCharType="end"/>
      </w:r>
    </w:p>
    <w:p>
      <w:pPr>
        <w:pStyle w:val="16"/>
        <w:tabs>
          <w:tab w:val="right" w:leader="dot" w:pos="9060"/>
        </w:tabs>
        <w:rPr>
          <w:rFonts w:asciiTheme="minorHAnsi" w:hAnsiTheme="minorHAnsi" w:eastAsiaTheme="minorEastAsia" w:cstheme="minorBidi"/>
          <w:kern w:val="2"/>
          <w:sz w:val="21"/>
          <w:szCs w:val="22"/>
        </w:rPr>
      </w:pPr>
      <w:r>
        <w:fldChar w:fldCharType="begin"/>
      </w:r>
      <w:r>
        <w:instrText xml:space="preserve"> HYPERLINK \l "_Toc86914871" </w:instrText>
      </w:r>
      <w:r>
        <w:fldChar w:fldCharType="separate"/>
      </w:r>
      <w:r>
        <w:rPr>
          <w:rStyle w:val="27"/>
        </w:rPr>
        <w:t>6</w:t>
      </w:r>
      <w:r>
        <w:rPr>
          <w:rStyle w:val="27"/>
          <w:rFonts w:hint="eastAsia"/>
        </w:rPr>
        <w:t>　政策保障</w:t>
      </w:r>
      <w:r>
        <w:tab/>
      </w:r>
      <w:r>
        <w:fldChar w:fldCharType="begin"/>
      </w:r>
      <w:r>
        <w:instrText xml:space="preserve"> PAGEREF _Toc86914871 \h </w:instrText>
      </w:r>
      <w:r>
        <w:fldChar w:fldCharType="separate"/>
      </w:r>
      <w:r>
        <w:t>106</w:t>
      </w:r>
      <w:r>
        <w:fldChar w:fldCharType="end"/>
      </w:r>
      <w:r>
        <w:fldChar w:fldCharType="end"/>
      </w:r>
    </w:p>
    <w:p>
      <w:pPr>
        <w:pStyle w:val="16"/>
        <w:tabs>
          <w:tab w:val="right" w:leader="dot" w:pos="9060"/>
        </w:tabs>
        <w:rPr>
          <w:rFonts w:asciiTheme="minorHAnsi" w:hAnsiTheme="minorHAnsi" w:eastAsiaTheme="minorEastAsia" w:cstheme="minorBidi"/>
          <w:kern w:val="2"/>
          <w:sz w:val="21"/>
          <w:szCs w:val="22"/>
        </w:rPr>
      </w:pPr>
      <w:r>
        <w:fldChar w:fldCharType="begin"/>
      </w:r>
      <w:r>
        <w:instrText xml:space="preserve"> HYPERLINK \l "_Toc86914872" </w:instrText>
      </w:r>
      <w:r>
        <w:fldChar w:fldCharType="separate"/>
      </w:r>
      <w:r>
        <w:rPr>
          <w:rStyle w:val="27"/>
        </w:rPr>
        <w:t>7</w:t>
      </w:r>
      <w:r>
        <w:rPr>
          <w:rStyle w:val="27"/>
          <w:rFonts w:hint="eastAsia"/>
        </w:rPr>
        <w:t>　强化监督管理</w:t>
      </w:r>
      <w:r>
        <w:tab/>
      </w:r>
      <w:r>
        <w:fldChar w:fldCharType="begin"/>
      </w:r>
      <w:r>
        <w:instrText xml:space="preserve"> PAGEREF _Toc86914872 \h </w:instrText>
      </w:r>
      <w:r>
        <w:fldChar w:fldCharType="separate"/>
      </w:r>
      <w:r>
        <w:t>107</w:t>
      </w:r>
      <w:r>
        <w:fldChar w:fldCharType="end"/>
      </w:r>
      <w:r>
        <w:fldChar w:fldCharType="end"/>
      </w:r>
    </w:p>
    <w:p>
      <w:pPr>
        <w:pStyle w:val="16"/>
        <w:tabs>
          <w:tab w:val="right" w:leader="dot" w:pos="9060"/>
        </w:tabs>
        <w:rPr>
          <w:rFonts w:asciiTheme="minorHAnsi" w:hAnsiTheme="minorHAnsi" w:eastAsiaTheme="minorEastAsia" w:cstheme="minorBidi"/>
          <w:kern w:val="2"/>
          <w:sz w:val="21"/>
          <w:szCs w:val="22"/>
        </w:rPr>
      </w:pPr>
      <w:r>
        <w:fldChar w:fldCharType="begin"/>
      </w:r>
      <w:r>
        <w:instrText xml:space="preserve"> HYPERLINK \l "_Toc86914873" </w:instrText>
      </w:r>
      <w:r>
        <w:fldChar w:fldCharType="separate"/>
      </w:r>
      <w:r>
        <w:rPr>
          <w:rStyle w:val="27"/>
        </w:rPr>
        <w:t>8</w:t>
      </w:r>
      <w:r>
        <w:rPr>
          <w:rStyle w:val="27"/>
          <w:rFonts w:hint="eastAsia"/>
        </w:rPr>
        <w:t>　运营管理</w:t>
      </w:r>
      <w:r>
        <w:tab/>
      </w:r>
      <w:r>
        <w:fldChar w:fldCharType="begin"/>
      </w:r>
      <w:r>
        <w:instrText xml:space="preserve"> PAGEREF _Toc86914873 \h </w:instrText>
      </w:r>
      <w:r>
        <w:fldChar w:fldCharType="separate"/>
      </w:r>
      <w:r>
        <w:t>110</w:t>
      </w:r>
      <w:r>
        <w:fldChar w:fldCharType="end"/>
      </w:r>
      <w:r>
        <w:fldChar w:fldCharType="end"/>
      </w:r>
    </w:p>
    <w:p>
      <w:pPr>
        <w:pStyle w:val="16"/>
        <w:tabs>
          <w:tab w:val="right" w:leader="dot" w:pos="9060"/>
        </w:tabs>
        <w:rPr>
          <w:rFonts w:asciiTheme="minorHAnsi" w:hAnsiTheme="minorHAnsi" w:eastAsiaTheme="minorEastAsia" w:cstheme="minorBidi"/>
          <w:kern w:val="2"/>
          <w:sz w:val="21"/>
          <w:szCs w:val="22"/>
        </w:rPr>
      </w:pPr>
      <w:r>
        <w:fldChar w:fldCharType="begin"/>
      </w:r>
      <w:r>
        <w:instrText xml:space="preserve"> HYPERLINK \l "_Toc86914874" </w:instrText>
      </w:r>
      <w:r>
        <w:fldChar w:fldCharType="separate"/>
      </w:r>
      <w:r>
        <w:rPr>
          <w:rStyle w:val="27"/>
        </w:rPr>
        <w:t>9</w:t>
      </w:r>
      <w:r>
        <w:rPr>
          <w:rStyle w:val="27"/>
          <w:rFonts w:hint="eastAsia"/>
        </w:rPr>
        <w:t>　收益分配</w:t>
      </w:r>
      <w:r>
        <w:tab/>
      </w:r>
      <w:r>
        <w:fldChar w:fldCharType="begin"/>
      </w:r>
      <w:r>
        <w:instrText xml:space="preserve"> PAGEREF _Toc86914874 \h </w:instrText>
      </w:r>
      <w:r>
        <w:fldChar w:fldCharType="separate"/>
      </w:r>
      <w:r>
        <w:t>111</w:t>
      </w:r>
      <w:r>
        <w:fldChar w:fldCharType="end"/>
      </w:r>
      <w:r>
        <w:fldChar w:fldCharType="end"/>
      </w:r>
    </w:p>
    <w:p>
      <w:pPr>
        <w:pStyle w:val="16"/>
        <w:tabs>
          <w:tab w:val="right" w:leader="dot" w:pos="9060"/>
        </w:tabs>
        <w:rPr>
          <w:rFonts w:asciiTheme="minorHAnsi" w:hAnsiTheme="minorHAnsi" w:eastAsiaTheme="minorEastAsia" w:cstheme="minorBidi"/>
          <w:kern w:val="2"/>
          <w:sz w:val="21"/>
          <w:szCs w:val="22"/>
        </w:rPr>
      </w:pPr>
      <w:r>
        <w:fldChar w:fldCharType="begin"/>
      </w:r>
      <w:r>
        <w:instrText xml:space="preserve"> HYPERLINK \l "_Toc86914875" </w:instrText>
      </w:r>
      <w:r>
        <w:fldChar w:fldCharType="separate"/>
      </w:r>
      <w:r>
        <w:rPr>
          <w:rStyle w:val="27"/>
          <w:rFonts w:hint="eastAsia"/>
        </w:rPr>
        <w:t>附　图：</w:t>
      </w:r>
      <w:r>
        <w:tab/>
      </w:r>
      <w:r>
        <w:fldChar w:fldCharType="begin"/>
      </w:r>
      <w:r>
        <w:instrText xml:space="preserve"> PAGEREF _Toc86914875 \h </w:instrText>
      </w:r>
      <w:r>
        <w:fldChar w:fldCharType="separate"/>
      </w:r>
      <w:r>
        <w:t>112</w:t>
      </w:r>
      <w:r>
        <w:fldChar w:fldCharType="end"/>
      </w:r>
      <w:r>
        <w:fldChar w:fldCharType="end"/>
      </w:r>
    </w:p>
    <w:p>
      <w:pPr>
        <w:pStyle w:val="16"/>
        <w:tabs>
          <w:tab w:val="right" w:leader="dot" w:pos="9060"/>
        </w:tabs>
        <w:rPr>
          <w:rFonts w:asciiTheme="minorHAnsi" w:hAnsiTheme="minorHAnsi" w:eastAsiaTheme="minorEastAsia" w:cstheme="minorBidi"/>
          <w:kern w:val="2"/>
          <w:sz w:val="21"/>
          <w:szCs w:val="22"/>
        </w:rPr>
      </w:pPr>
      <w:r>
        <w:fldChar w:fldCharType="begin"/>
      </w:r>
      <w:r>
        <w:instrText xml:space="preserve"> HYPERLINK \l "_Toc86914876" </w:instrText>
      </w:r>
      <w:r>
        <w:fldChar w:fldCharType="separate"/>
      </w:r>
      <w:r>
        <w:rPr>
          <w:rStyle w:val="27"/>
          <w:rFonts w:hint="eastAsia"/>
        </w:rPr>
        <w:t>附　表：</w:t>
      </w:r>
      <w:r>
        <w:tab/>
      </w:r>
      <w:r>
        <w:fldChar w:fldCharType="begin"/>
      </w:r>
      <w:r>
        <w:instrText xml:space="preserve"> PAGEREF _Toc86914876 \h </w:instrText>
      </w:r>
      <w:r>
        <w:fldChar w:fldCharType="separate"/>
      </w:r>
      <w:r>
        <w:t>112</w:t>
      </w:r>
      <w:r>
        <w:fldChar w:fldCharType="end"/>
      </w:r>
      <w:r>
        <w:fldChar w:fldCharType="end"/>
      </w:r>
    </w:p>
    <w:p>
      <w:pPr>
        <w:adjustRightInd w:val="0"/>
        <w:snapToGrid w:val="0"/>
        <w:spacing w:line="580" w:lineRule="exact"/>
        <w:rPr>
          <w:rFonts w:ascii="Times New Roman" w:hAnsi="Times New Roman" w:cs="Times New Roman"/>
          <w:bCs/>
          <w:sz w:val="24"/>
          <w:szCs w:val="24"/>
        </w:rPr>
      </w:pPr>
      <w:r>
        <w:rPr>
          <w:rFonts w:ascii="Times New Roman" w:hAnsi="Times New Roman" w:cs="Times New Roman"/>
          <w:bCs/>
          <w:szCs w:val="24"/>
        </w:rPr>
        <w:fldChar w:fldCharType="end"/>
      </w:r>
    </w:p>
    <w:p>
      <w:pPr>
        <w:adjustRightInd w:val="0"/>
        <w:snapToGrid w:val="0"/>
        <w:spacing w:line="580" w:lineRule="exact"/>
        <w:ind w:firstLine="480" w:firstLineChars="200"/>
        <w:rPr>
          <w:rFonts w:ascii="Times New Roman" w:hAnsi="Times New Roman" w:cs="Times New Roman"/>
          <w:bCs/>
          <w:sz w:val="24"/>
          <w:szCs w:val="24"/>
        </w:rPr>
      </w:pPr>
    </w:p>
    <w:p>
      <w:pPr>
        <w:adjustRightInd w:val="0"/>
        <w:snapToGrid w:val="0"/>
        <w:spacing w:line="580" w:lineRule="exact"/>
        <w:ind w:firstLine="480" w:firstLineChars="200"/>
        <w:rPr>
          <w:rFonts w:ascii="Times New Roman" w:hAnsi="Times New Roman" w:cs="Times New Roman"/>
          <w:bCs/>
          <w:sz w:val="24"/>
          <w:szCs w:val="24"/>
        </w:rPr>
      </w:pPr>
    </w:p>
    <w:p>
      <w:pPr>
        <w:adjustRightInd w:val="0"/>
        <w:snapToGrid w:val="0"/>
        <w:spacing w:line="580" w:lineRule="exact"/>
        <w:ind w:firstLine="480" w:firstLineChars="200"/>
        <w:rPr>
          <w:rFonts w:ascii="Times New Roman" w:hAnsi="Times New Roman" w:cs="Times New Roman"/>
          <w:bCs/>
          <w:sz w:val="24"/>
          <w:szCs w:val="24"/>
        </w:rPr>
        <w:sectPr>
          <w:headerReference r:id="rId6" w:type="default"/>
          <w:footerReference r:id="rId7" w:type="default"/>
          <w:footerReference r:id="rId8" w:type="even"/>
          <w:pgSz w:w="11906" w:h="16838"/>
          <w:pgMar w:top="1616" w:right="1418" w:bottom="1616" w:left="1418" w:header="907" w:footer="1304" w:gutter="0"/>
          <w:pgNumType w:fmt="upperRoman" w:start="1"/>
          <w:cols w:space="425" w:num="1"/>
          <w:docGrid w:type="lines" w:linePitch="312" w:charSpace="0"/>
        </w:sectPr>
      </w:pPr>
    </w:p>
    <w:p>
      <w:pPr>
        <w:pStyle w:val="2"/>
        <w:jc w:val="center"/>
      </w:pPr>
      <w:bookmarkStart w:id="0" w:name="_Toc86914791"/>
      <w:r>
        <w:rPr>
          <w:rFonts w:hint="eastAsia"/>
        </w:rPr>
        <w:t>前　　言</w:t>
      </w:r>
      <w:bookmarkEnd w:id="0"/>
    </w:p>
    <w:p>
      <w:pPr>
        <w:pStyle w:val="43"/>
        <w:ind w:firstLine="560"/>
        <w:rPr>
          <w:lang w:bidi="en-US"/>
        </w:rPr>
      </w:pPr>
      <w:r>
        <w:rPr>
          <w:lang w:bidi="en-US"/>
        </w:rPr>
        <w:t>“</w:t>
      </w:r>
      <w:r>
        <w:rPr>
          <w:rFonts w:hint="eastAsia"/>
          <w:lang w:bidi="en-US"/>
        </w:rPr>
        <w:t>十四五</w:t>
      </w:r>
      <w:r>
        <w:rPr>
          <w:lang w:bidi="en-US"/>
        </w:rPr>
        <w:t>”</w:t>
      </w:r>
      <w:r>
        <w:rPr>
          <w:rFonts w:hint="eastAsia"/>
          <w:lang w:bidi="en-US"/>
        </w:rPr>
        <w:t>是我国</w:t>
      </w:r>
      <w:r>
        <w:rPr>
          <w:lang w:bidi="en-US"/>
        </w:rPr>
        <w:t>“</w:t>
      </w:r>
      <w:r>
        <w:rPr>
          <w:rFonts w:hint="eastAsia"/>
          <w:lang w:bidi="en-US"/>
        </w:rPr>
        <w:t>两个一百年</w:t>
      </w:r>
      <w:r>
        <w:rPr>
          <w:lang w:bidi="en-US"/>
        </w:rPr>
        <w:t>”</w:t>
      </w:r>
      <w:r>
        <w:rPr>
          <w:rFonts w:hint="eastAsia"/>
          <w:lang w:bidi="en-US"/>
        </w:rPr>
        <w:t>奋斗目标的历史交汇期，是建设社会主义现代化国家新征程的起步期，是加快推进生态文明建设和经济高质量发展的攻坚期，也是全面实现大中型水库移民后期扶持政策中长期目标的关键期。科学编制好大中型水利水电工程移民搬迁安置和后期扶持“十四五”规划，对于明确目标任务、高质量推进搬迁安置各阶段工作，聚焦移民发展的突出问题和薄弱环节，落实高质量发展要求，具有十分重要的意义。</w:t>
      </w:r>
    </w:p>
    <w:p>
      <w:pPr>
        <w:pStyle w:val="43"/>
        <w:ind w:firstLine="560"/>
        <w:rPr>
          <w:lang w:bidi="en-US"/>
        </w:rPr>
      </w:pPr>
      <w:r>
        <w:rPr>
          <w:rFonts w:hint="eastAsia"/>
          <w:lang w:bidi="en-US"/>
        </w:rPr>
        <w:t>根据《关于大中型水库移民后期扶持“十四五”规划编制工作的指导意见》（办移民〔</w:t>
      </w:r>
      <w:r>
        <w:rPr>
          <w:lang w:bidi="en-US"/>
        </w:rPr>
        <w:t>2020</w:t>
      </w:r>
      <w:r>
        <w:rPr>
          <w:rFonts w:hint="eastAsia"/>
          <w:lang w:bidi="en-US"/>
        </w:rPr>
        <w:t>〕</w:t>
      </w:r>
      <w:r>
        <w:rPr>
          <w:lang w:bidi="en-US"/>
        </w:rPr>
        <w:t>98</w:t>
      </w:r>
      <w:r>
        <w:rPr>
          <w:rFonts w:hint="eastAsia"/>
          <w:lang w:bidi="en-US"/>
        </w:rPr>
        <w:t>号）和《云南省搬迁安置办公室关于大中型水利水电移民搬迁安置和后期扶持“十四五”规划编制工作的指导意见》（云搬发〔</w:t>
      </w:r>
      <w:r>
        <w:rPr>
          <w:lang w:bidi="en-US"/>
        </w:rPr>
        <w:t>2020</w:t>
      </w:r>
      <w:r>
        <w:rPr>
          <w:rFonts w:hint="eastAsia"/>
          <w:lang w:bidi="en-US"/>
        </w:rPr>
        <w:t>〕</w:t>
      </w:r>
      <w:r>
        <w:rPr>
          <w:lang w:bidi="en-US"/>
        </w:rPr>
        <w:t>83</w:t>
      </w:r>
      <w:r>
        <w:rPr>
          <w:rFonts w:hint="eastAsia"/>
          <w:lang w:bidi="en-US"/>
        </w:rPr>
        <w:t>号）等相关政策文件要求，云南省各县需于</w:t>
      </w:r>
      <w:r>
        <w:rPr>
          <w:lang w:bidi="en-US"/>
        </w:rPr>
        <w:t>2020</w:t>
      </w:r>
      <w:r>
        <w:rPr>
          <w:rFonts w:hint="eastAsia"/>
          <w:lang w:bidi="en-US"/>
        </w:rPr>
        <w:t>年</w:t>
      </w:r>
      <w:r>
        <w:rPr>
          <w:lang w:bidi="en-US"/>
        </w:rPr>
        <w:t>12</w:t>
      </w:r>
      <w:r>
        <w:rPr>
          <w:rFonts w:hint="eastAsia"/>
          <w:lang w:bidi="en-US"/>
        </w:rPr>
        <w:t>月底前完成本地区移民搬迁安置和后期扶持“十四五”规划编制，并按规定程序报审报批。</w:t>
      </w:r>
    </w:p>
    <w:p>
      <w:pPr>
        <w:pStyle w:val="43"/>
        <w:ind w:firstLine="560"/>
        <w:rPr>
          <w:lang w:bidi="en-US"/>
        </w:rPr>
      </w:pPr>
      <w:r>
        <w:rPr>
          <w:lang w:bidi="en-US"/>
        </w:rPr>
        <w:t>2020</w:t>
      </w:r>
      <w:r>
        <w:rPr>
          <w:rFonts w:hint="eastAsia"/>
          <w:lang w:bidi="en-US"/>
        </w:rPr>
        <w:t>年</w:t>
      </w:r>
      <w:r>
        <w:rPr>
          <w:lang w:bidi="en-US"/>
        </w:rPr>
        <w:t>10</w:t>
      </w:r>
      <w:r>
        <w:rPr>
          <w:rFonts w:hint="eastAsia"/>
          <w:lang w:bidi="en-US"/>
        </w:rPr>
        <w:t>月，为做好元谋县大中型水利水电工程移民搬迁安置和后期扶持“十四五”规划（</w:t>
      </w:r>
      <w:r>
        <w:rPr>
          <w:lang w:bidi="en-US"/>
        </w:rPr>
        <w:t>2021-2025</w:t>
      </w:r>
      <w:r>
        <w:rPr>
          <w:rFonts w:hint="eastAsia"/>
          <w:lang w:bidi="en-US"/>
        </w:rPr>
        <w:t>年）编制工作，元谋县搬迁安置办公室委托长江勘测规划设计研究有限责任公司（以下简称“长江设计公司”）编制楚雄州元谋县大中型水利水电工程移民搬迁安置和后期扶持</w:t>
      </w:r>
      <w:r>
        <w:rPr>
          <w:lang w:bidi="en-US"/>
        </w:rPr>
        <w:t>“</w:t>
      </w:r>
      <w:r>
        <w:rPr>
          <w:rFonts w:hint="eastAsia"/>
          <w:lang w:bidi="en-US"/>
        </w:rPr>
        <w:t>十四五</w:t>
      </w:r>
      <w:r>
        <w:rPr>
          <w:lang w:bidi="en-US"/>
        </w:rPr>
        <w:t>”</w:t>
      </w:r>
      <w:r>
        <w:rPr>
          <w:rFonts w:hint="eastAsia"/>
          <w:lang w:bidi="en-US"/>
        </w:rPr>
        <w:t>规划。</w:t>
      </w:r>
    </w:p>
    <w:p>
      <w:pPr>
        <w:pStyle w:val="43"/>
        <w:ind w:firstLine="560"/>
        <w:rPr>
          <w:lang w:bidi="en-US"/>
        </w:rPr>
      </w:pPr>
      <w:r>
        <w:rPr>
          <w:rFonts w:hint="eastAsia"/>
          <w:lang w:bidi="en-US"/>
        </w:rPr>
        <w:t>根据《云南省搬迁安置办公室关于大中型水利水电工程移民搬迁安置和后期扶持“十四五”规划编制工作的指导意见》（云搬发〔</w:t>
      </w:r>
      <w:r>
        <w:rPr>
          <w:lang w:bidi="en-US"/>
        </w:rPr>
        <w:t>2020〕83号）的要求，在</w:t>
      </w:r>
      <w:r>
        <w:rPr>
          <w:rFonts w:hint="eastAsia"/>
          <w:lang w:bidi="en-US"/>
        </w:rPr>
        <w:t>元谋县</w:t>
      </w:r>
      <w:r>
        <w:rPr>
          <w:lang w:bidi="en-US"/>
        </w:rPr>
        <w:t>搬迁安置办公室的组织下</w:t>
      </w:r>
      <w:r>
        <w:rPr>
          <w:rFonts w:hint="eastAsia"/>
          <w:lang w:bidi="en-US"/>
        </w:rPr>
        <w:t>，长江设计公司</w:t>
      </w:r>
      <w:r>
        <w:rPr>
          <w:lang w:bidi="en-US"/>
        </w:rPr>
        <w:t>立足</w:t>
      </w:r>
      <w:r>
        <w:rPr>
          <w:rFonts w:hint="eastAsia"/>
          <w:lang w:bidi="en-US"/>
        </w:rPr>
        <w:t>全县</w:t>
      </w:r>
      <w:r>
        <w:rPr>
          <w:lang w:bidi="en-US"/>
        </w:rPr>
        <w:t>大中型水利水电移民工作实际，深入元谋县库区和移民安置区开展调研，广泛征求移民意见，在收集相关行业规划及有关资料的基础上，编制完成</w:t>
      </w:r>
      <w:r>
        <w:rPr>
          <w:rFonts w:hint="eastAsia"/>
          <w:lang w:bidi="en-US"/>
        </w:rPr>
        <w:t>《楚雄州元谋县大中型水利水电工程移民搬迁安置和后期扶持</w:t>
      </w:r>
      <w:r>
        <w:rPr>
          <w:lang w:bidi="en-US"/>
        </w:rPr>
        <w:t>“</w:t>
      </w:r>
      <w:r>
        <w:rPr>
          <w:rFonts w:hint="eastAsia"/>
          <w:lang w:bidi="en-US"/>
        </w:rPr>
        <w:t>十四五</w:t>
      </w:r>
      <w:r>
        <w:rPr>
          <w:lang w:bidi="en-US"/>
        </w:rPr>
        <w:t>”</w:t>
      </w:r>
      <w:r>
        <w:rPr>
          <w:rFonts w:hint="eastAsia"/>
          <w:lang w:bidi="en-US"/>
        </w:rPr>
        <w:t>规划报告》（征求意见稿），2020年12月，根据元谋县搬迁安置办公室及有关部门意见，长江设计公司再次进行修改完善，并形成《楚雄州元谋县大中型水利水电工程移民搬迁安置和后期扶持“十四五”规划报告（送审稿）》。</w:t>
      </w:r>
    </w:p>
    <w:p>
      <w:pPr>
        <w:pStyle w:val="43"/>
        <w:ind w:firstLine="560"/>
        <w:rPr>
          <w:lang w:bidi="en-US"/>
        </w:rPr>
      </w:pPr>
      <w:r>
        <w:rPr>
          <w:lang w:bidi="en-US"/>
        </w:rPr>
        <w:t>2021</w:t>
      </w:r>
      <w:r>
        <w:rPr>
          <w:rFonts w:hint="eastAsia"/>
          <w:lang w:bidi="en-US"/>
        </w:rPr>
        <w:t>年</w:t>
      </w:r>
      <w:r>
        <w:rPr>
          <w:lang w:bidi="en-US"/>
        </w:rPr>
        <w:t>1</w:t>
      </w:r>
      <w:r>
        <w:rPr>
          <w:rFonts w:hint="eastAsia"/>
          <w:lang w:bidi="en-US"/>
        </w:rPr>
        <w:t>月，楚雄州搬迁安置办公室对《楚雄州元谋县大中型水利水电工程移民搬迁安置和后期扶持</w:t>
      </w:r>
      <w:r>
        <w:rPr>
          <w:lang w:bidi="en-US"/>
        </w:rPr>
        <w:t>“</w:t>
      </w:r>
      <w:r>
        <w:rPr>
          <w:rFonts w:hint="eastAsia"/>
          <w:lang w:bidi="en-US"/>
        </w:rPr>
        <w:t>十四五</w:t>
      </w:r>
      <w:r>
        <w:rPr>
          <w:lang w:bidi="en-US"/>
        </w:rPr>
        <w:t>”</w:t>
      </w:r>
      <w:r>
        <w:rPr>
          <w:rFonts w:hint="eastAsia"/>
          <w:lang w:bidi="en-US"/>
        </w:rPr>
        <w:t>规划报告（送审稿）》组织了审查，评审会议建议进一步复核有关项目，突出乌东德水电站工作重点，完善报告修改工作。根据评审意见，长江设计公司设计人员与元谋县政府及搬迁安置办公室再次对接，讨论修改意见，确定规划方案及投资，编制完成《楚雄州元谋县大中型水利水电工程移民搬迁安置和后期扶持“十四五”规划报告》（审定本）。</w:t>
      </w:r>
    </w:p>
    <w:p>
      <w:pPr>
        <w:pStyle w:val="43"/>
        <w:ind w:firstLine="560"/>
        <w:rPr>
          <w:lang w:bidi="en-US"/>
        </w:rPr>
      </w:pPr>
      <w:r>
        <w:rPr>
          <w:rFonts w:hint="eastAsia"/>
          <w:lang w:bidi="en-US"/>
        </w:rPr>
        <w:t>本报告共三篇，介绍了元谋县移民搬迁安置及后期扶持工作开展情况，总结了“十三五”期间存在的困难和问题，进一步分析</w:t>
      </w:r>
      <w:r>
        <w:rPr>
          <w:lang w:bidi="en-US"/>
        </w:rPr>
        <w:t>“十四五”面临的机遇和挑战，对“十四五”</w:t>
      </w:r>
      <w:r>
        <w:rPr>
          <w:rFonts w:hint="eastAsia"/>
          <w:lang w:bidi="en-US"/>
        </w:rPr>
        <w:t>期间</w:t>
      </w:r>
      <w:r>
        <w:rPr>
          <w:lang w:bidi="en-US"/>
        </w:rPr>
        <w:t>元谋县后期扶持工作和保障措施进行了详细论述。《规划》坚持以人民为中心的发展思想，坚持创新、协调、绿色、开放、共享的新发展理念，擘画了未来五年</w:t>
      </w:r>
      <w:r>
        <w:rPr>
          <w:rFonts w:hint="eastAsia"/>
          <w:lang w:bidi="en-US"/>
        </w:rPr>
        <w:t>元谋</w:t>
      </w:r>
      <w:r>
        <w:rPr>
          <w:lang w:bidi="en-US"/>
        </w:rPr>
        <w:t>县大中型水利水电工程移民搬迁安置和后期扶持</w:t>
      </w:r>
      <w:r>
        <w:rPr>
          <w:rFonts w:hint="eastAsia"/>
          <w:lang w:bidi="en-US"/>
        </w:rPr>
        <w:t>的</w:t>
      </w:r>
      <w:r>
        <w:rPr>
          <w:lang w:bidi="en-US"/>
        </w:rPr>
        <w:t>建设图景，</w:t>
      </w:r>
      <w:r>
        <w:rPr>
          <w:rFonts w:hint="eastAsia"/>
          <w:lang w:bidi="en-US"/>
        </w:rPr>
        <w:t>是指导元谋县有效推进移民搬迁安置工作以及有效使用后期扶持资金的纲领性文件，是指导未来五年水库移民搬迁安置和后期扶持工作的战略性规划，是编制年度项目计划的依据。</w:t>
      </w:r>
    </w:p>
    <w:p>
      <w:pPr>
        <w:pStyle w:val="43"/>
        <w:ind w:firstLine="560"/>
        <w:rPr>
          <w:lang w:bidi="en-US"/>
        </w:rPr>
      </w:pPr>
      <w:r>
        <w:rPr>
          <w:rFonts w:hint="eastAsia"/>
          <w:lang w:bidi="en-US"/>
        </w:rPr>
        <w:t>本报告中，元谋县“十四五”期间计划推进移民安置工作主要包括完成乌东德水电站元谋县内就近生产安置移民和少部分搬迁安置移民安置工作，预计新增移民552</w:t>
      </w:r>
      <w:r>
        <w:rPr>
          <w:lang w:bidi="en-US"/>
        </w:rPr>
        <w:t>人，估算移民投资2.0</w:t>
      </w:r>
      <w:r>
        <w:rPr>
          <w:rFonts w:hint="eastAsia"/>
          <w:lang w:bidi="en-US"/>
        </w:rPr>
        <w:t>亿元。</w:t>
      </w:r>
    </w:p>
    <w:p>
      <w:pPr>
        <w:pStyle w:val="43"/>
        <w:ind w:firstLine="560"/>
        <w:rPr>
          <w:lang w:bidi="en-US"/>
        </w:rPr>
      </w:pPr>
      <w:r>
        <w:rPr>
          <w:rFonts w:hint="eastAsia"/>
          <w:lang w:bidi="en-US"/>
        </w:rPr>
        <w:t>元谋县“十四五”期间计划完成总投资</w:t>
      </w:r>
      <w:r>
        <w:rPr>
          <w:rFonts w:hint="eastAsia"/>
          <w:lang w:val="en-US" w:eastAsia="zh-CN" w:bidi="en-US"/>
        </w:rPr>
        <w:t>5</w:t>
      </w:r>
      <w:r>
        <w:rPr>
          <w:rFonts w:hint="eastAsia"/>
          <w:lang w:bidi="en-US"/>
        </w:rPr>
        <w:t>0431.84万元，其中使用后扶资金1</w:t>
      </w:r>
      <w:r>
        <w:rPr>
          <w:rFonts w:hint="eastAsia"/>
          <w:lang w:val="en-US" w:eastAsia="zh-CN" w:bidi="en-US"/>
        </w:rPr>
        <w:t>72</w:t>
      </w:r>
      <w:r>
        <w:rPr>
          <w:rFonts w:hint="eastAsia"/>
          <w:lang w:bidi="en-US"/>
        </w:rPr>
        <w:t>93.20万元。后期扶持人口直补资金发放4204.20万元。后期扶持项目规划2</w:t>
      </w:r>
      <w:r>
        <w:rPr>
          <w:rFonts w:hint="eastAsia"/>
          <w:lang w:val="en-US" w:eastAsia="zh-CN" w:bidi="en-US"/>
        </w:rPr>
        <w:t>5</w:t>
      </w:r>
      <w:r>
        <w:rPr>
          <w:rFonts w:hint="eastAsia"/>
          <w:lang w:bidi="en-US"/>
        </w:rPr>
        <w:t>个，计划完成后期扶持投资1</w:t>
      </w:r>
      <w:r>
        <w:rPr>
          <w:rFonts w:hint="eastAsia"/>
          <w:lang w:val="en-US" w:eastAsia="zh-CN" w:bidi="en-US"/>
        </w:rPr>
        <w:t>30</w:t>
      </w:r>
      <w:r>
        <w:rPr>
          <w:rFonts w:hint="eastAsia"/>
          <w:lang w:bidi="en-US"/>
        </w:rPr>
        <w:t>89.00万元，其中：美丽家园</w:t>
      </w:r>
      <w:r>
        <w:rPr>
          <w:rFonts w:hint="eastAsia" w:ascii="宋体" w:hAnsi="宋体" w:eastAsia="宋体"/>
          <w:lang w:bidi="en-US"/>
        </w:rPr>
        <w:t>•</w:t>
      </w:r>
      <w:r>
        <w:rPr>
          <w:rFonts w:hint="eastAsia"/>
          <w:lang w:bidi="en-US"/>
        </w:rPr>
        <w:t>移民新村建设项目14个，计划后扶资金1628.00万元；产业转型升级建设项目</w:t>
      </w:r>
      <w:r>
        <w:rPr>
          <w:rFonts w:hint="eastAsia"/>
          <w:lang w:val="en-US" w:eastAsia="zh-CN" w:bidi="en-US"/>
        </w:rPr>
        <w:t>8</w:t>
      </w:r>
      <w:r>
        <w:rPr>
          <w:rFonts w:hint="eastAsia"/>
          <w:lang w:bidi="en-US"/>
        </w:rPr>
        <w:t>个，计划后扶资金</w:t>
      </w:r>
      <w:r>
        <w:rPr>
          <w:rFonts w:hint="eastAsia"/>
          <w:lang w:val="en-US" w:eastAsia="zh-CN" w:bidi="en-US"/>
        </w:rPr>
        <w:t>104</w:t>
      </w:r>
      <w:r>
        <w:rPr>
          <w:rFonts w:hint="eastAsia"/>
          <w:lang w:bidi="en-US"/>
        </w:rPr>
        <w:t>61.00万元；就业创业能力建设和就业扶持项目3个，计划后扶资金1000.00万元。</w:t>
      </w:r>
    </w:p>
    <w:p>
      <w:pPr>
        <w:ind w:firstLine="560" w:firstLineChars="200"/>
        <w:contextualSpacing/>
        <w:rPr>
          <w:rFonts w:ascii="Times New Roman" w:hAnsi="Times New Roman" w:cs="Times New Roman"/>
          <w:color w:val="000000"/>
          <w:kern w:val="0"/>
          <w:szCs w:val="24"/>
          <w:lang w:bidi="en-US"/>
        </w:rPr>
      </w:pPr>
    </w:p>
    <w:p>
      <w:pPr>
        <w:ind w:firstLine="560" w:firstLineChars="200"/>
        <w:contextualSpacing/>
        <w:rPr>
          <w:rFonts w:ascii="Times New Roman" w:hAnsi="Times New Roman" w:cs="Times New Roman"/>
          <w:color w:val="000000"/>
          <w:kern w:val="0"/>
          <w:szCs w:val="24"/>
          <w:lang w:bidi="en-US"/>
        </w:rPr>
        <w:sectPr>
          <w:headerReference r:id="rId9" w:type="default"/>
          <w:footerReference r:id="rId11" w:type="default"/>
          <w:headerReference r:id="rId10" w:type="even"/>
          <w:footerReference r:id="rId12" w:type="even"/>
          <w:pgSz w:w="11906" w:h="16838"/>
          <w:pgMar w:top="1616" w:right="1418" w:bottom="1616" w:left="1418" w:header="907" w:footer="1304" w:gutter="0"/>
          <w:pgNumType w:start="1"/>
          <w:cols w:space="425" w:num="1"/>
          <w:docGrid w:type="lines" w:linePitch="312" w:charSpace="0"/>
        </w:sectPr>
      </w:pPr>
    </w:p>
    <w:p>
      <w:pPr>
        <w:pStyle w:val="2"/>
        <w:jc w:val="center"/>
      </w:pPr>
      <w:bookmarkStart w:id="1" w:name="_Toc86914792"/>
      <w:r>
        <w:rPr>
          <w:rFonts w:hint="eastAsia"/>
        </w:rPr>
        <w:t>第一篇　搬迁安置规划</w:t>
      </w:r>
      <w:bookmarkEnd w:id="1"/>
    </w:p>
    <w:p>
      <w:pPr>
        <w:pStyle w:val="2"/>
      </w:pPr>
      <w:bookmarkStart w:id="2" w:name="_Toc86914793"/>
      <w:r>
        <w:t>1</w:t>
      </w:r>
      <w:r>
        <w:rPr>
          <w:rFonts w:hint="eastAsia"/>
        </w:rPr>
        <w:t>　概　述</w:t>
      </w:r>
      <w:bookmarkEnd w:id="2"/>
    </w:p>
    <w:p>
      <w:pPr>
        <w:pStyle w:val="43"/>
        <w:ind w:firstLine="560"/>
        <w:rPr>
          <w:highlight w:val="yellow"/>
        </w:rPr>
      </w:pPr>
      <w:r>
        <w:rPr>
          <w:rFonts w:hint="eastAsia"/>
        </w:rPr>
        <w:t>新中国成立以来，元谋县水利水电工程稳步推进，“十三五”期间，随着国家作出加快水利改革发展、保障水安全、推进重大水利工程建设，以及云南省提出加快水网等五网建设等一系列决策部署，水利水电工程进入快速发展时期。</w:t>
      </w:r>
    </w:p>
    <w:p>
      <w:pPr>
        <w:pStyle w:val="43"/>
        <w:ind w:firstLine="560"/>
      </w:pPr>
      <w:r>
        <w:rPr>
          <w:rFonts w:hint="eastAsia"/>
        </w:rPr>
        <w:t xml:space="preserve"> “十四五”时期，党中央、国务院，云南省委、省政府作出了一系列重大战略部署，要求加强水利基础设施建设，提升水资源优化配置和水旱灾害防御能力，并研究推出了一批重大工程和项目。元谋县“十四五”期间紧紧围绕云南省“五网”建设和“十四五”水安全保障的目标任务。“十四五”时期，元谋县将紧紧围绕党中央、国务院，云南省委、省政府，楚雄州委、州政府的战略部署，立足县情水情，牢固树立以人民为中心的发展理念，把维护移民群众合法利益作为前提，把重大水利工程移民搬迁安置工作作为重点，把基本农田、生态保护作为两条控制红线，把移民搬迁安置全过程监督管理作为关键环节，广泛凝聚社会共识，为移民搬迁安置工作营造良好社会氛围，切实维护移民群众合法权益，确保库区和移民安置区社会和谐稳定，不断推动移民搬迁安置工作再上新台阶，主动服务“五网”建设，为实现生态文明建设和经济高质量发展提供坚强保障。</w:t>
      </w:r>
    </w:p>
    <w:p>
      <w:pPr>
        <w:pStyle w:val="3"/>
      </w:pPr>
      <w:bookmarkStart w:id="3" w:name="_Toc86914794"/>
      <w:r>
        <w:t>1.1</w:t>
      </w:r>
      <w:r>
        <w:rPr>
          <w:rFonts w:hint="eastAsia"/>
        </w:rPr>
        <w:t>　搬迁安置基本情况</w:t>
      </w:r>
      <w:bookmarkEnd w:id="3"/>
    </w:p>
    <w:p>
      <w:pPr>
        <w:pStyle w:val="43"/>
        <w:ind w:firstLine="560"/>
        <w:rPr>
          <w:lang w:bidi="en-US"/>
        </w:rPr>
      </w:pPr>
      <w:r>
        <w:rPr>
          <w:rFonts w:hint="eastAsia"/>
          <w:lang w:bidi="en-US"/>
        </w:rPr>
        <w:t>元谋县“十四五”期间涉及后期扶持移民人口14566</w:t>
      </w:r>
      <w:r>
        <w:rPr>
          <w:lang w:bidi="en-US"/>
        </w:rPr>
        <w:t>人，共涉及</w:t>
      </w:r>
      <w:r>
        <w:rPr>
          <w:rFonts w:hint="eastAsia"/>
          <w:lang w:bidi="en-US"/>
        </w:rPr>
        <w:t>19</w:t>
      </w:r>
      <w:r>
        <w:rPr>
          <w:lang w:bidi="en-US"/>
        </w:rPr>
        <w:t>座大中型水利水电工程，其中已建成</w:t>
      </w:r>
      <w:r>
        <w:rPr>
          <w:rFonts w:hint="eastAsia"/>
          <w:lang w:bidi="en-US"/>
        </w:rPr>
        <w:t>17</w:t>
      </w:r>
      <w:r>
        <w:rPr>
          <w:lang w:bidi="en-US"/>
        </w:rPr>
        <w:t>座，拟建2座。</w:t>
      </w:r>
    </w:p>
    <w:p>
      <w:pPr>
        <w:pStyle w:val="43"/>
        <w:ind w:firstLine="560"/>
        <w:rPr>
          <w:lang w:bidi="en-US"/>
        </w:rPr>
      </w:pPr>
    </w:p>
    <w:p>
      <w:pPr>
        <w:pStyle w:val="53"/>
        <w:ind w:firstLine="240"/>
        <w:rPr>
          <w:highlight w:val="yellow"/>
          <w:lang w:bidi="en-US"/>
        </w:rPr>
      </w:pPr>
      <w:r>
        <w:rPr>
          <w:rFonts w:hint="eastAsia"/>
          <w:lang w:bidi="en-US"/>
        </w:rPr>
        <w:t>表1.1-1　　　　　　元谋县“十四五”期间</w:t>
      </w:r>
      <w:r>
        <w:rPr>
          <w:lang w:bidi="en-US"/>
        </w:rPr>
        <w:t>涉及的</w:t>
      </w:r>
      <w:r>
        <w:rPr>
          <w:rFonts w:hint="eastAsia"/>
          <w:lang w:bidi="en-US"/>
        </w:rPr>
        <w:t>19</w:t>
      </w:r>
      <w:r>
        <w:rPr>
          <w:lang w:bidi="en-US"/>
        </w:rPr>
        <w:t>座大中型水利水电工程</w:t>
      </w:r>
    </w:p>
    <w:tbl>
      <w:tblPr>
        <w:tblStyle w:val="23"/>
        <w:tblW w:w="9165" w:type="dxa"/>
        <w:jc w:val="center"/>
        <w:tblInd w:w="0" w:type="dxa"/>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636"/>
        <w:gridCol w:w="1476"/>
        <w:gridCol w:w="1686"/>
        <w:gridCol w:w="729"/>
        <w:gridCol w:w="729"/>
        <w:gridCol w:w="729"/>
        <w:gridCol w:w="636"/>
        <w:gridCol w:w="636"/>
        <w:gridCol w:w="636"/>
        <w:gridCol w:w="636"/>
        <w:gridCol w:w="636"/>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430" w:hRule="atLeast"/>
          <w:jc w:val="center"/>
        </w:trPr>
        <w:tc>
          <w:tcPr>
            <w:tcW w:w="636" w:type="dxa"/>
            <w:vMerge w:val="restart"/>
            <w:shd w:val="clear" w:color="auto" w:fill="auto"/>
            <w:noWrap/>
            <w:vAlign w:val="center"/>
          </w:tcPr>
          <w:p>
            <w:pPr>
              <w:pStyle w:val="52"/>
            </w:pPr>
            <w:r>
              <w:rPr>
                <w:rFonts w:hint="eastAsia"/>
              </w:rPr>
              <w:t>序号</w:t>
            </w:r>
          </w:p>
        </w:tc>
        <w:tc>
          <w:tcPr>
            <w:tcW w:w="1476" w:type="dxa"/>
            <w:vMerge w:val="restart"/>
            <w:shd w:val="clear" w:color="auto" w:fill="auto"/>
            <w:noWrap/>
            <w:vAlign w:val="center"/>
          </w:tcPr>
          <w:p>
            <w:pPr>
              <w:pStyle w:val="52"/>
            </w:pPr>
            <w:r>
              <w:rPr>
                <w:rFonts w:hint="eastAsia"/>
              </w:rPr>
              <w:t>水库名称</w:t>
            </w:r>
          </w:p>
        </w:tc>
        <w:tc>
          <w:tcPr>
            <w:tcW w:w="1686" w:type="dxa"/>
            <w:vMerge w:val="restart"/>
            <w:shd w:val="clear" w:color="auto" w:fill="auto"/>
            <w:noWrap/>
            <w:vAlign w:val="center"/>
          </w:tcPr>
          <w:p>
            <w:pPr>
              <w:pStyle w:val="52"/>
            </w:pPr>
            <w:r>
              <w:rPr>
                <w:rFonts w:hint="eastAsia"/>
              </w:rPr>
              <w:t>建设地点</w:t>
            </w:r>
          </w:p>
        </w:tc>
        <w:tc>
          <w:tcPr>
            <w:tcW w:w="729" w:type="dxa"/>
            <w:vMerge w:val="restart"/>
            <w:shd w:val="clear" w:color="auto" w:fill="auto"/>
            <w:vAlign w:val="center"/>
          </w:tcPr>
          <w:p>
            <w:pPr>
              <w:pStyle w:val="52"/>
            </w:pPr>
            <w:r>
              <w:rPr>
                <w:rFonts w:hint="eastAsia"/>
              </w:rPr>
              <w:t>移民人口合计</w:t>
            </w:r>
          </w:p>
        </w:tc>
        <w:tc>
          <w:tcPr>
            <w:tcW w:w="2094" w:type="dxa"/>
            <w:gridSpan w:val="3"/>
            <w:shd w:val="clear" w:color="auto" w:fill="auto"/>
            <w:noWrap/>
            <w:vAlign w:val="center"/>
          </w:tcPr>
          <w:p>
            <w:pPr>
              <w:pStyle w:val="52"/>
            </w:pPr>
            <w:r>
              <w:rPr>
                <w:rFonts w:hint="eastAsia"/>
              </w:rPr>
              <w:t>已核定后扶人口</w:t>
            </w:r>
          </w:p>
        </w:tc>
        <w:tc>
          <w:tcPr>
            <w:tcW w:w="1908" w:type="dxa"/>
            <w:gridSpan w:val="3"/>
            <w:shd w:val="clear" w:color="auto" w:fill="auto"/>
            <w:noWrap/>
            <w:vAlign w:val="center"/>
          </w:tcPr>
          <w:p>
            <w:pPr>
              <w:pStyle w:val="52"/>
            </w:pPr>
            <w:r>
              <w:rPr>
                <w:rFonts w:hint="eastAsia"/>
              </w:rPr>
              <w:t>预计新增后扶人口</w:t>
            </w:r>
          </w:p>
        </w:tc>
        <w:tc>
          <w:tcPr>
            <w:tcW w:w="636" w:type="dxa"/>
            <w:vMerge w:val="restart"/>
            <w:shd w:val="clear" w:color="auto" w:fill="auto"/>
            <w:noWrap/>
            <w:vAlign w:val="center"/>
          </w:tcPr>
          <w:p>
            <w:pPr>
              <w:pStyle w:val="52"/>
            </w:pPr>
            <w:r>
              <w:rPr>
                <w:rFonts w:hint="eastAsia"/>
              </w:rPr>
              <w:t>备注</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430" w:hRule="atLeast"/>
          <w:jc w:val="center"/>
        </w:trPr>
        <w:tc>
          <w:tcPr>
            <w:tcW w:w="636" w:type="dxa"/>
            <w:vMerge w:val="continue"/>
            <w:vAlign w:val="center"/>
          </w:tcPr>
          <w:p>
            <w:pPr>
              <w:pStyle w:val="52"/>
            </w:pPr>
          </w:p>
        </w:tc>
        <w:tc>
          <w:tcPr>
            <w:tcW w:w="1476" w:type="dxa"/>
            <w:vMerge w:val="continue"/>
            <w:vAlign w:val="center"/>
          </w:tcPr>
          <w:p>
            <w:pPr>
              <w:pStyle w:val="52"/>
            </w:pPr>
          </w:p>
        </w:tc>
        <w:tc>
          <w:tcPr>
            <w:tcW w:w="1686" w:type="dxa"/>
            <w:vMerge w:val="continue"/>
            <w:vAlign w:val="center"/>
          </w:tcPr>
          <w:p>
            <w:pPr>
              <w:pStyle w:val="52"/>
            </w:pPr>
          </w:p>
        </w:tc>
        <w:tc>
          <w:tcPr>
            <w:tcW w:w="729" w:type="dxa"/>
            <w:vMerge w:val="continue"/>
            <w:vAlign w:val="center"/>
          </w:tcPr>
          <w:p>
            <w:pPr>
              <w:pStyle w:val="52"/>
            </w:pPr>
          </w:p>
        </w:tc>
        <w:tc>
          <w:tcPr>
            <w:tcW w:w="729" w:type="dxa"/>
            <w:shd w:val="clear" w:color="auto" w:fill="auto"/>
            <w:noWrap/>
            <w:vAlign w:val="center"/>
          </w:tcPr>
          <w:p>
            <w:pPr>
              <w:pStyle w:val="52"/>
            </w:pPr>
            <w:r>
              <w:rPr>
                <w:rFonts w:hint="eastAsia"/>
              </w:rPr>
              <w:t>小计</w:t>
            </w:r>
          </w:p>
        </w:tc>
        <w:tc>
          <w:tcPr>
            <w:tcW w:w="729" w:type="dxa"/>
            <w:shd w:val="clear" w:color="auto" w:fill="auto"/>
            <w:noWrap/>
            <w:vAlign w:val="center"/>
          </w:tcPr>
          <w:p>
            <w:pPr>
              <w:pStyle w:val="52"/>
            </w:pPr>
            <w:r>
              <w:rPr>
                <w:rFonts w:hint="eastAsia"/>
              </w:rPr>
              <w:t>到人</w:t>
            </w:r>
          </w:p>
        </w:tc>
        <w:tc>
          <w:tcPr>
            <w:tcW w:w="636" w:type="dxa"/>
            <w:shd w:val="clear" w:color="auto" w:fill="auto"/>
            <w:noWrap/>
            <w:vAlign w:val="center"/>
          </w:tcPr>
          <w:p>
            <w:pPr>
              <w:pStyle w:val="52"/>
            </w:pPr>
            <w:r>
              <w:rPr>
                <w:rFonts w:hint="eastAsia"/>
              </w:rPr>
              <w:t>到组</w:t>
            </w:r>
          </w:p>
        </w:tc>
        <w:tc>
          <w:tcPr>
            <w:tcW w:w="636" w:type="dxa"/>
            <w:shd w:val="clear" w:color="auto" w:fill="auto"/>
            <w:noWrap/>
            <w:vAlign w:val="center"/>
          </w:tcPr>
          <w:p>
            <w:pPr>
              <w:pStyle w:val="52"/>
            </w:pPr>
            <w:r>
              <w:rPr>
                <w:rFonts w:hint="eastAsia"/>
              </w:rPr>
              <w:t>小计</w:t>
            </w:r>
          </w:p>
        </w:tc>
        <w:tc>
          <w:tcPr>
            <w:tcW w:w="636" w:type="dxa"/>
            <w:shd w:val="clear" w:color="auto" w:fill="auto"/>
            <w:noWrap/>
            <w:vAlign w:val="center"/>
          </w:tcPr>
          <w:p>
            <w:pPr>
              <w:pStyle w:val="52"/>
            </w:pPr>
            <w:r>
              <w:rPr>
                <w:rFonts w:hint="eastAsia"/>
              </w:rPr>
              <w:t>到人</w:t>
            </w:r>
          </w:p>
        </w:tc>
        <w:tc>
          <w:tcPr>
            <w:tcW w:w="636" w:type="dxa"/>
            <w:shd w:val="clear" w:color="auto" w:fill="auto"/>
            <w:noWrap/>
            <w:vAlign w:val="center"/>
          </w:tcPr>
          <w:p>
            <w:pPr>
              <w:pStyle w:val="52"/>
            </w:pPr>
            <w:r>
              <w:rPr>
                <w:rFonts w:hint="eastAsia"/>
              </w:rPr>
              <w:t>到组</w:t>
            </w:r>
          </w:p>
        </w:tc>
        <w:tc>
          <w:tcPr>
            <w:tcW w:w="636" w:type="dxa"/>
            <w:vMerge w:val="continue"/>
            <w:vAlign w:val="center"/>
          </w:tcPr>
          <w:p>
            <w:pPr>
              <w:pStyle w:val="52"/>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430" w:hRule="atLeast"/>
          <w:jc w:val="center"/>
        </w:trPr>
        <w:tc>
          <w:tcPr>
            <w:tcW w:w="636" w:type="dxa"/>
            <w:shd w:val="clear" w:color="auto" w:fill="auto"/>
            <w:noWrap/>
            <w:vAlign w:val="center"/>
          </w:tcPr>
          <w:p>
            <w:pPr>
              <w:pStyle w:val="52"/>
            </w:pPr>
            <w:r>
              <w:t>1</w:t>
            </w:r>
          </w:p>
        </w:tc>
        <w:tc>
          <w:tcPr>
            <w:tcW w:w="1476" w:type="dxa"/>
            <w:shd w:val="clear" w:color="auto" w:fill="auto"/>
            <w:noWrap/>
            <w:vAlign w:val="center"/>
          </w:tcPr>
          <w:p>
            <w:pPr>
              <w:pStyle w:val="52"/>
            </w:pPr>
            <w:r>
              <w:rPr>
                <w:rFonts w:hint="eastAsia"/>
              </w:rPr>
              <w:t>乌东德水电站</w:t>
            </w:r>
          </w:p>
        </w:tc>
        <w:tc>
          <w:tcPr>
            <w:tcW w:w="1686" w:type="dxa"/>
            <w:shd w:val="clear" w:color="auto" w:fill="auto"/>
            <w:noWrap/>
            <w:vAlign w:val="center"/>
          </w:tcPr>
          <w:p>
            <w:pPr>
              <w:pStyle w:val="52"/>
            </w:pPr>
            <w:r>
              <w:rPr>
                <w:rFonts w:hint="eastAsia"/>
              </w:rPr>
              <w:t>禄劝县及会东县</w:t>
            </w:r>
          </w:p>
        </w:tc>
        <w:tc>
          <w:tcPr>
            <w:tcW w:w="729" w:type="dxa"/>
            <w:shd w:val="clear" w:color="auto" w:fill="auto"/>
            <w:noWrap/>
            <w:vAlign w:val="center"/>
          </w:tcPr>
          <w:p>
            <w:pPr>
              <w:pStyle w:val="52"/>
            </w:pPr>
            <w:r>
              <w:t>11132</w:t>
            </w:r>
          </w:p>
        </w:tc>
        <w:tc>
          <w:tcPr>
            <w:tcW w:w="729" w:type="dxa"/>
            <w:shd w:val="clear" w:color="auto" w:fill="auto"/>
            <w:noWrap/>
            <w:vAlign w:val="center"/>
          </w:tcPr>
          <w:p>
            <w:pPr>
              <w:pStyle w:val="52"/>
            </w:pPr>
            <w:r>
              <w:t>10580</w:t>
            </w:r>
          </w:p>
        </w:tc>
        <w:tc>
          <w:tcPr>
            <w:tcW w:w="729" w:type="dxa"/>
            <w:shd w:val="clear" w:color="auto" w:fill="auto"/>
            <w:noWrap/>
            <w:vAlign w:val="center"/>
          </w:tcPr>
          <w:p>
            <w:pPr>
              <w:pStyle w:val="52"/>
            </w:pPr>
            <w:r>
              <w:t>10580</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t>552</w:t>
            </w:r>
          </w:p>
        </w:tc>
        <w:tc>
          <w:tcPr>
            <w:tcW w:w="636" w:type="dxa"/>
            <w:shd w:val="clear" w:color="auto" w:fill="auto"/>
            <w:noWrap/>
            <w:vAlign w:val="center"/>
          </w:tcPr>
          <w:p>
            <w:pPr>
              <w:pStyle w:val="52"/>
            </w:pPr>
            <w:r>
              <w:t>405</w:t>
            </w:r>
          </w:p>
        </w:tc>
        <w:tc>
          <w:tcPr>
            <w:tcW w:w="636" w:type="dxa"/>
            <w:shd w:val="clear" w:color="auto" w:fill="auto"/>
            <w:noWrap/>
            <w:vAlign w:val="center"/>
          </w:tcPr>
          <w:p>
            <w:pPr>
              <w:pStyle w:val="52"/>
            </w:pPr>
            <w:r>
              <w:t>147</w:t>
            </w:r>
          </w:p>
        </w:tc>
        <w:tc>
          <w:tcPr>
            <w:tcW w:w="636" w:type="dxa"/>
            <w:shd w:val="clear" w:color="auto" w:fill="auto"/>
            <w:noWrap/>
            <w:vAlign w:val="center"/>
          </w:tcPr>
          <w:p>
            <w:pPr>
              <w:pStyle w:val="52"/>
            </w:pPr>
            <w:r>
              <w:rPr>
                <w:rFonts w:hint="eastAsia"/>
              </w:rPr>
              <w:t>已建</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430" w:hRule="atLeast"/>
          <w:jc w:val="center"/>
        </w:trPr>
        <w:tc>
          <w:tcPr>
            <w:tcW w:w="636" w:type="dxa"/>
            <w:shd w:val="clear" w:color="auto" w:fill="auto"/>
            <w:noWrap/>
            <w:vAlign w:val="center"/>
          </w:tcPr>
          <w:p>
            <w:pPr>
              <w:pStyle w:val="52"/>
            </w:pPr>
            <w:r>
              <w:t>2</w:t>
            </w:r>
          </w:p>
        </w:tc>
        <w:tc>
          <w:tcPr>
            <w:tcW w:w="1476" w:type="dxa"/>
            <w:shd w:val="clear" w:color="auto" w:fill="auto"/>
            <w:noWrap/>
            <w:vAlign w:val="center"/>
          </w:tcPr>
          <w:p>
            <w:pPr>
              <w:pStyle w:val="52"/>
            </w:pPr>
            <w:r>
              <w:rPr>
                <w:rFonts w:hint="eastAsia"/>
              </w:rPr>
              <w:t>河尾水库</w:t>
            </w:r>
          </w:p>
        </w:tc>
        <w:tc>
          <w:tcPr>
            <w:tcW w:w="1686" w:type="dxa"/>
            <w:shd w:val="clear" w:color="auto" w:fill="auto"/>
            <w:noWrap/>
            <w:vAlign w:val="center"/>
          </w:tcPr>
          <w:p>
            <w:pPr>
              <w:pStyle w:val="52"/>
            </w:pPr>
            <w:r>
              <w:rPr>
                <w:rFonts w:hint="eastAsia"/>
              </w:rPr>
              <w:t>元谋县</w:t>
            </w:r>
          </w:p>
        </w:tc>
        <w:tc>
          <w:tcPr>
            <w:tcW w:w="729" w:type="dxa"/>
            <w:shd w:val="clear" w:color="auto" w:fill="auto"/>
            <w:noWrap/>
            <w:vAlign w:val="center"/>
          </w:tcPr>
          <w:p>
            <w:pPr>
              <w:pStyle w:val="52"/>
            </w:pPr>
            <w:r>
              <w:t>1100</w:t>
            </w:r>
          </w:p>
        </w:tc>
        <w:tc>
          <w:tcPr>
            <w:tcW w:w="729" w:type="dxa"/>
            <w:shd w:val="clear" w:color="auto" w:fill="auto"/>
            <w:noWrap/>
            <w:vAlign w:val="center"/>
          </w:tcPr>
          <w:p>
            <w:pPr>
              <w:pStyle w:val="52"/>
            </w:pPr>
            <w:r>
              <w:t>1100</w:t>
            </w:r>
          </w:p>
        </w:tc>
        <w:tc>
          <w:tcPr>
            <w:tcW w:w="729" w:type="dxa"/>
            <w:shd w:val="clear" w:color="auto" w:fill="auto"/>
            <w:noWrap/>
            <w:vAlign w:val="center"/>
          </w:tcPr>
          <w:p>
            <w:pPr>
              <w:pStyle w:val="52"/>
            </w:pPr>
            <w:r>
              <w:t>1100</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已建</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430" w:hRule="atLeast"/>
          <w:jc w:val="center"/>
        </w:trPr>
        <w:tc>
          <w:tcPr>
            <w:tcW w:w="636" w:type="dxa"/>
            <w:shd w:val="clear" w:color="auto" w:fill="auto"/>
            <w:noWrap/>
            <w:vAlign w:val="center"/>
          </w:tcPr>
          <w:p>
            <w:pPr>
              <w:pStyle w:val="52"/>
            </w:pPr>
            <w:r>
              <w:t>3</w:t>
            </w:r>
          </w:p>
        </w:tc>
        <w:tc>
          <w:tcPr>
            <w:tcW w:w="1476" w:type="dxa"/>
            <w:shd w:val="clear" w:color="auto" w:fill="auto"/>
            <w:noWrap/>
            <w:vAlign w:val="center"/>
          </w:tcPr>
          <w:p>
            <w:pPr>
              <w:pStyle w:val="52"/>
            </w:pPr>
            <w:r>
              <w:rPr>
                <w:rFonts w:hint="eastAsia"/>
              </w:rPr>
              <w:t>丙间水库</w:t>
            </w:r>
          </w:p>
        </w:tc>
        <w:tc>
          <w:tcPr>
            <w:tcW w:w="1686" w:type="dxa"/>
            <w:shd w:val="clear" w:color="auto" w:fill="auto"/>
            <w:noWrap/>
            <w:vAlign w:val="center"/>
          </w:tcPr>
          <w:p>
            <w:pPr>
              <w:pStyle w:val="52"/>
            </w:pPr>
            <w:r>
              <w:rPr>
                <w:rFonts w:hint="eastAsia"/>
              </w:rPr>
              <w:t>元谋县</w:t>
            </w:r>
          </w:p>
        </w:tc>
        <w:tc>
          <w:tcPr>
            <w:tcW w:w="729" w:type="dxa"/>
            <w:shd w:val="clear" w:color="auto" w:fill="auto"/>
            <w:noWrap/>
            <w:vAlign w:val="center"/>
          </w:tcPr>
          <w:p>
            <w:pPr>
              <w:pStyle w:val="52"/>
            </w:pPr>
            <w:r>
              <w:t>566</w:t>
            </w:r>
          </w:p>
        </w:tc>
        <w:tc>
          <w:tcPr>
            <w:tcW w:w="729" w:type="dxa"/>
            <w:shd w:val="clear" w:color="auto" w:fill="auto"/>
            <w:noWrap/>
            <w:vAlign w:val="center"/>
          </w:tcPr>
          <w:p>
            <w:pPr>
              <w:pStyle w:val="52"/>
            </w:pPr>
            <w:r>
              <w:t>566</w:t>
            </w:r>
          </w:p>
        </w:tc>
        <w:tc>
          <w:tcPr>
            <w:tcW w:w="729" w:type="dxa"/>
            <w:shd w:val="clear" w:color="auto" w:fill="auto"/>
            <w:noWrap/>
            <w:vAlign w:val="center"/>
          </w:tcPr>
          <w:p>
            <w:pPr>
              <w:pStyle w:val="52"/>
            </w:pPr>
            <w:r>
              <w:t>566</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已建</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430" w:hRule="atLeast"/>
          <w:jc w:val="center"/>
        </w:trPr>
        <w:tc>
          <w:tcPr>
            <w:tcW w:w="636" w:type="dxa"/>
            <w:shd w:val="clear" w:color="auto" w:fill="auto"/>
            <w:noWrap/>
            <w:vAlign w:val="center"/>
          </w:tcPr>
          <w:p>
            <w:pPr>
              <w:pStyle w:val="52"/>
            </w:pPr>
            <w:r>
              <w:t>4</w:t>
            </w:r>
          </w:p>
        </w:tc>
        <w:tc>
          <w:tcPr>
            <w:tcW w:w="1476" w:type="dxa"/>
            <w:shd w:val="clear" w:color="auto" w:fill="auto"/>
            <w:noWrap/>
            <w:vAlign w:val="center"/>
          </w:tcPr>
          <w:p>
            <w:pPr>
              <w:pStyle w:val="52"/>
            </w:pPr>
            <w:r>
              <w:rPr>
                <w:rFonts w:hint="eastAsia"/>
              </w:rPr>
              <w:t>麻柳水库</w:t>
            </w:r>
          </w:p>
        </w:tc>
        <w:tc>
          <w:tcPr>
            <w:tcW w:w="1686" w:type="dxa"/>
            <w:shd w:val="clear" w:color="auto" w:fill="auto"/>
            <w:noWrap/>
            <w:vAlign w:val="center"/>
          </w:tcPr>
          <w:p>
            <w:pPr>
              <w:pStyle w:val="52"/>
            </w:pPr>
            <w:r>
              <w:rPr>
                <w:rFonts w:hint="eastAsia"/>
              </w:rPr>
              <w:t>元谋县</w:t>
            </w:r>
          </w:p>
        </w:tc>
        <w:tc>
          <w:tcPr>
            <w:tcW w:w="729" w:type="dxa"/>
            <w:shd w:val="clear" w:color="auto" w:fill="auto"/>
            <w:noWrap/>
            <w:vAlign w:val="center"/>
          </w:tcPr>
          <w:p>
            <w:pPr>
              <w:pStyle w:val="52"/>
            </w:pPr>
            <w:r>
              <w:t>919</w:t>
            </w:r>
          </w:p>
        </w:tc>
        <w:tc>
          <w:tcPr>
            <w:tcW w:w="729" w:type="dxa"/>
            <w:shd w:val="clear" w:color="auto" w:fill="auto"/>
            <w:noWrap/>
            <w:vAlign w:val="center"/>
          </w:tcPr>
          <w:p>
            <w:pPr>
              <w:pStyle w:val="52"/>
            </w:pPr>
            <w:r>
              <w:t>919</w:t>
            </w:r>
          </w:p>
        </w:tc>
        <w:tc>
          <w:tcPr>
            <w:tcW w:w="729" w:type="dxa"/>
            <w:shd w:val="clear" w:color="auto" w:fill="auto"/>
            <w:noWrap/>
            <w:vAlign w:val="center"/>
          </w:tcPr>
          <w:p>
            <w:pPr>
              <w:pStyle w:val="52"/>
            </w:pPr>
            <w:r>
              <w:t>919</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已建</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430" w:hRule="atLeast"/>
          <w:jc w:val="center"/>
        </w:trPr>
        <w:tc>
          <w:tcPr>
            <w:tcW w:w="636" w:type="dxa"/>
            <w:shd w:val="clear" w:color="auto" w:fill="auto"/>
            <w:noWrap/>
            <w:vAlign w:val="center"/>
          </w:tcPr>
          <w:p>
            <w:pPr>
              <w:pStyle w:val="52"/>
            </w:pPr>
            <w:r>
              <w:t>5</w:t>
            </w:r>
          </w:p>
        </w:tc>
        <w:tc>
          <w:tcPr>
            <w:tcW w:w="1476" w:type="dxa"/>
            <w:shd w:val="clear" w:color="auto" w:fill="auto"/>
            <w:noWrap/>
            <w:vAlign w:val="center"/>
          </w:tcPr>
          <w:p>
            <w:pPr>
              <w:pStyle w:val="52"/>
            </w:pPr>
            <w:r>
              <w:rPr>
                <w:rFonts w:hint="eastAsia"/>
              </w:rPr>
              <w:t>猛连水库</w:t>
            </w:r>
          </w:p>
        </w:tc>
        <w:tc>
          <w:tcPr>
            <w:tcW w:w="1686" w:type="dxa"/>
            <w:shd w:val="clear" w:color="auto" w:fill="auto"/>
            <w:noWrap/>
            <w:vAlign w:val="center"/>
          </w:tcPr>
          <w:p>
            <w:pPr>
              <w:pStyle w:val="52"/>
            </w:pPr>
            <w:r>
              <w:rPr>
                <w:rFonts w:hint="eastAsia"/>
              </w:rPr>
              <w:t>元谋县</w:t>
            </w:r>
          </w:p>
        </w:tc>
        <w:tc>
          <w:tcPr>
            <w:tcW w:w="729" w:type="dxa"/>
            <w:shd w:val="clear" w:color="auto" w:fill="auto"/>
            <w:noWrap/>
            <w:vAlign w:val="center"/>
          </w:tcPr>
          <w:p>
            <w:pPr>
              <w:pStyle w:val="52"/>
            </w:pPr>
            <w:r>
              <w:t>370</w:t>
            </w:r>
          </w:p>
        </w:tc>
        <w:tc>
          <w:tcPr>
            <w:tcW w:w="729" w:type="dxa"/>
            <w:shd w:val="clear" w:color="auto" w:fill="auto"/>
            <w:noWrap/>
            <w:vAlign w:val="center"/>
          </w:tcPr>
          <w:p>
            <w:pPr>
              <w:pStyle w:val="52"/>
            </w:pPr>
            <w:r>
              <w:t>370</w:t>
            </w:r>
          </w:p>
        </w:tc>
        <w:tc>
          <w:tcPr>
            <w:tcW w:w="729" w:type="dxa"/>
            <w:shd w:val="clear" w:color="auto" w:fill="auto"/>
            <w:noWrap/>
            <w:vAlign w:val="center"/>
          </w:tcPr>
          <w:p>
            <w:pPr>
              <w:pStyle w:val="52"/>
            </w:pPr>
            <w:r>
              <w:t>370</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已建</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430" w:hRule="atLeast"/>
          <w:jc w:val="center"/>
        </w:trPr>
        <w:tc>
          <w:tcPr>
            <w:tcW w:w="636" w:type="dxa"/>
            <w:shd w:val="clear" w:color="auto" w:fill="auto"/>
            <w:noWrap/>
            <w:vAlign w:val="center"/>
          </w:tcPr>
          <w:p>
            <w:pPr>
              <w:pStyle w:val="52"/>
            </w:pPr>
            <w:r>
              <w:t>6</w:t>
            </w:r>
          </w:p>
        </w:tc>
        <w:tc>
          <w:tcPr>
            <w:tcW w:w="1476" w:type="dxa"/>
            <w:shd w:val="clear" w:color="auto" w:fill="auto"/>
            <w:noWrap/>
            <w:vAlign w:val="center"/>
          </w:tcPr>
          <w:p>
            <w:pPr>
              <w:pStyle w:val="52"/>
            </w:pPr>
            <w:r>
              <w:rPr>
                <w:rFonts w:hint="eastAsia"/>
              </w:rPr>
              <w:t>丙巷河水库</w:t>
            </w:r>
          </w:p>
        </w:tc>
        <w:tc>
          <w:tcPr>
            <w:tcW w:w="1686" w:type="dxa"/>
            <w:shd w:val="clear" w:color="auto" w:fill="auto"/>
            <w:noWrap/>
            <w:vAlign w:val="center"/>
          </w:tcPr>
          <w:p>
            <w:pPr>
              <w:pStyle w:val="52"/>
            </w:pPr>
            <w:r>
              <w:rPr>
                <w:rFonts w:hint="eastAsia"/>
              </w:rPr>
              <w:t>元谋县</w:t>
            </w:r>
          </w:p>
        </w:tc>
        <w:tc>
          <w:tcPr>
            <w:tcW w:w="729" w:type="dxa"/>
            <w:shd w:val="clear" w:color="auto" w:fill="auto"/>
            <w:noWrap/>
            <w:vAlign w:val="center"/>
          </w:tcPr>
          <w:p>
            <w:pPr>
              <w:pStyle w:val="52"/>
            </w:pPr>
            <w:r>
              <w:t>264</w:t>
            </w:r>
          </w:p>
        </w:tc>
        <w:tc>
          <w:tcPr>
            <w:tcW w:w="729" w:type="dxa"/>
            <w:shd w:val="clear" w:color="auto" w:fill="auto"/>
            <w:noWrap/>
            <w:vAlign w:val="center"/>
          </w:tcPr>
          <w:p>
            <w:pPr>
              <w:pStyle w:val="52"/>
            </w:pPr>
            <w:r>
              <w:t>264</w:t>
            </w:r>
          </w:p>
        </w:tc>
        <w:tc>
          <w:tcPr>
            <w:tcW w:w="729" w:type="dxa"/>
            <w:shd w:val="clear" w:color="auto" w:fill="auto"/>
            <w:noWrap/>
            <w:vAlign w:val="center"/>
          </w:tcPr>
          <w:p>
            <w:pPr>
              <w:pStyle w:val="52"/>
            </w:pPr>
            <w:r>
              <w:t>264</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已建</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430" w:hRule="atLeast"/>
          <w:jc w:val="center"/>
        </w:trPr>
        <w:tc>
          <w:tcPr>
            <w:tcW w:w="636" w:type="dxa"/>
            <w:shd w:val="clear" w:color="auto" w:fill="auto"/>
            <w:noWrap/>
            <w:vAlign w:val="center"/>
          </w:tcPr>
          <w:p>
            <w:pPr>
              <w:pStyle w:val="52"/>
            </w:pPr>
            <w:r>
              <w:t>7</w:t>
            </w:r>
          </w:p>
        </w:tc>
        <w:tc>
          <w:tcPr>
            <w:tcW w:w="1476" w:type="dxa"/>
            <w:shd w:val="clear" w:color="auto" w:fill="auto"/>
            <w:noWrap/>
            <w:vAlign w:val="center"/>
          </w:tcPr>
          <w:p>
            <w:pPr>
              <w:pStyle w:val="52"/>
            </w:pPr>
            <w:r>
              <w:rPr>
                <w:rFonts w:hint="eastAsia"/>
              </w:rPr>
              <w:t>坛罐窑水库</w:t>
            </w:r>
          </w:p>
        </w:tc>
        <w:tc>
          <w:tcPr>
            <w:tcW w:w="1686" w:type="dxa"/>
            <w:shd w:val="clear" w:color="auto" w:fill="auto"/>
            <w:noWrap/>
            <w:vAlign w:val="center"/>
          </w:tcPr>
          <w:p>
            <w:pPr>
              <w:pStyle w:val="52"/>
            </w:pPr>
            <w:r>
              <w:rPr>
                <w:rFonts w:hint="eastAsia"/>
              </w:rPr>
              <w:t>大姚县</w:t>
            </w:r>
          </w:p>
        </w:tc>
        <w:tc>
          <w:tcPr>
            <w:tcW w:w="729" w:type="dxa"/>
            <w:shd w:val="clear" w:color="auto" w:fill="auto"/>
            <w:noWrap/>
            <w:vAlign w:val="center"/>
          </w:tcPr>
          <w:p>
            <w:pPr>
              <w:pStyle w:val="52"/>
            </w:pPr>
            <w:r>
              <w:t>159</w:t>
            </w:r>
          </w:p>
        </w:tc>
        <w:tc>
          <w:tcPr>
            <w:tcW w:w="729" w:type="dxa"/>
            <w:shd w:val="clear" w:color="auto" w:fill="auto"/>
            <w:noWrap/>
            <w:vAlign w:val="center"/>
          </w:tcPr>
          <w:p>
            <w:pPr>
              <w:pStyle w:val="52"/>
            </w:pPr>
            <w:r>
              <w:t>159</w:t>
            </w:r>
          </w:p>
        </w:tc>
        <w:tc>
          <w:tcPr>
            <w:tcW w:w="729" w:type="dxa"/>
            <w:shd w:val="clear" w:color="auto" w:fill="auto"/>
            <w:noWrap/>
            <w:vAlign w:val="center"/>
          </w:tcPr>
          <w:p>
            <w:pPr>
              <w:pStyle w:val="52"/>
            </w:pPr>
            <w:r>
              <w:t>159</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已建</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430" w:hRule="atLeast"/>
          <w:jc w:val="center"/>
        </w:trPr>
        <w:tc>
          <w:tcPr>
            <w:tcW w:w="636" w:type="dxa"/>
            <w:shd w:val="clear" w:color="auto" w:fill="auto"/>
            <w:noWrap/>
            <w:vAlign w:val="center"/>
          </w:tcPr>
          <w:p>
            <w:pPr>
              <w:pStyle w:val="52"/>
            </w:pPr>
            <w:r>
              <w:t>8</w:t>
            </w:r>
          </w:p>
        </w:tc>
        <w:tc>
          <w:tcPr>
            <w:tcW w:w="1476" w:type="dxa"/>
            <w:shd w:val="clear" w:color="auto" w:fill="auto"/>
            <w:noWrap/>
            <w:vAlign w:val="center"/>
          </w:tcPr>
          <w:p>
            <w:pPr>
              <w:pStyle w:val="52"/>
            </w:pPr>
            <w:r>
              <w:rPr>
                <w:rFonts w:hint="eastAsia"/>
              </w:rPr>
              <w:t>跃进水库</w:t>
            </w:r>
          </w:p>
        </w:tc>
        <w:tc>
          <w:tcPr>
            <w:tcW w:w="1686" w:type="dxa"/>
            <w:shd w:val="clear" w:color="auto" w:fill="auto"/>
            <w:noWrap/>
            <w:vAlign w:val="center"/>
          </w:tcPr>
          <w:p>
            <w:pPr>
              <w:pStyle w:val="52"/>
            </w:pPr>
            <w:r>
              <w:rPr>
                <w:rFonts w:hint="eastAsia"/>
              </w:rPr>
              <w:t>永仁县</w:t>
            </w:r>
          </w:p>
        </w:tc>
        <w:tc>
          <w:tcPr>
            <w:tcW w:w="729" w:type="dxa"/>
            <w:shd w:val="clear" w:color="auto" w:fill="auto"/>
            <w:noWrap/>
            <w:vAlign w:val="center"/>
          </w:tcPr>
          <w:p>
            <w:pPr>
              <w:pStyle w:val="52"/>
            </w:pPr>
            <w:r>
              <w:t>4</w:t>
            </w:r>
          </w:p>
        </w:tc>
        <w:tc>
          <w:tcPr>
            <w:tcW w:w="729" w:type="dxa"/>
            <w:shd w:val="clear" w:color="auto" w:fill="auto"/>
            <w:noWrap/>
            <w:vAlign w:val="center"/>
          </w:tcPr>
          <w:p>
            <w:pPr>
              <w:pStyle w:val="52"/>
            </w:pPr>
            <w:r>
              <w:t>4</w:t>
            </w:r>
          </w:p>
        </w:tc>
        <w:tc>
          <w:tcPr>
            <w:tcW w:w="729" w:type="dxa"/>
            <w:shd w:val="clear" w:color="auto" w:fill="auto"/>
            <w:noWrap/>
            <w:vAlign w:val="center"/>
          </w:tcPr>
          <w:p>
            <w:pPr>
              <w:pStyle w:val="52"/>
            </w:pPr>
            <w:r>
              <w:t>4</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已建</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430" w:hRule="atLeast"/>
          <w:jc w:val="center"/>
        </w:trPr>
        <w:tc>
          <w:tcPr>
            <w:tcW w:w="636" w:type="dxa"/>
            <w:shd w:val="clear" w:color="auto" w:fill="auto"/>
            <w:noWrap/>
            <w:vAlign w:val="center"/>
          </w:tcPr>
          <w:p>
            <w:pPr>
              <w:pStyle w:val="52"/>
            </w:pPr>
            <w:r>
              <w:t>9</w:t>
            </w:r>
          </w:p>
        </w:tc>
        <w:tc>
          <w:tcPr>
            <w:tcW w:w="1476" w:type="dxa"/>
            <w:shd w:val="clear" w:color="auto" w:fill="auto"/>
            <w:noWrap/>
            <w:vAlign w:val="center"/>
          </w:tcPr>
          <w:p>
            <w:pPr>
              <w:pStyle w:val="52"/>
            </w:pPr>
            <w:r>
              <w:rPr>
                <w:rFonts w:hint="eastAsia"/>
              </w:rPr>
              <w:t>以礼河水库</w:t>
            </w:r>
          </w:p>
        </w:tc>
        <w:tc>
          <w:tcPr>
            <w:tcW w:w="1686" w:type="dxa"/>
            <w:shd w:val="clear" w:color="auto" w:fill="auto"/>
            <w:noWrap/>
            <w:vAlign w:val="center"/>
          </w:tcPr>
          <w:p>
            <w:pPr>
              <w:pStyle w:val="52"/>
            </w:pPr>
            <w:r>
              <w:rPr>
                <w:rFonts w:hint="eastAsia"/>
              </w:rPr>
              <w:t>楚雄市</w:t>
            </w:r>
          </w:p>
        </w:tc>
        <w:tc>
          <w:tcPr>
            <w:tcW w:w="729" w:type="dxa"/>
            <w:shd w:val="clear" w:color="auto" w:fill="auto"/>
            <w:noWrap/>
            <w:vAlign w:val="center"/>
          </w:tcPr>
          <w:p>
            <w:pPr>
              <w:pStyle w:val="52"/>
            </w:pPr>
            <w:r>
              <w:t>1</w:t>
            </w:r>
          </w:p>
        </w:tc>
        <w:tc>
          <w:tcPr>
            <w:tcW w:w="729" w:type="dxa"/>
            <w:shd w:val="clear" w:color="auto" w:fill="auto"/>
            <w:noWrap/>
            <w:vAlign w:val="center"/>
          </w:tcPr>
          <w:p>
            <w:pPr>
              <w:pStyle w:val="52"/>
            </w:pPr>
            <w:r>
              <w:t>1</w:t>
            </w:r>
          </w:p>
        </w:tc>
        <w:tc>
          <w:tcPr>
            <w:tcW w:w="729" w:type="dxa"/>
            <w:shd w:val="clear" w:color="auto" w:fill="auto"/>
            <w:noWrap/>
            <w:vAlign w:val="center"/>
          </w:tcPr>
          <w:p>
            <w:pPr>
              <w:pStyle w:val="52"/>
            </w:pPr>
            <w:r>
              <w:t>1</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已建</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430" w:hRule="atLeast"/>
          <w:jc w:val="center"/>
        </w:trPr>
        <w:tc>
          <w:tcPr>
            <w:tcW w:w="636" w:type="dxa"/>
            <w:shd w:val="clear" w:color="auto" w:fill="auto"/>
            <w:noWrap/>
            <w:vAlign w:val="center"/>
          </w:tcPr>
          <w:p>
            <w:pPr>
              <w:pStyle w:val="52"/>
            </w:pPr>
            <w:r>
              <w:t>10</w:t>
            </w:r>
          </w:p>
        </w:tc>
        <w:tc>
          <w:tcPr>
            <w:tcW w:w="1476" w:type="dxa"/>
            <w:shd w:val="clear" w:color="auto" w:fill="auto"/>
            <w:noWrap/>
            <w:vAlign w:val="center"/>
          </w:tcPr>
          <w:p>
            <w:pPr>
              <w:pStyle w:val="52"/>
            </w:pPr>
            <w:r>
              <w:rPr>
                <w:rFonts w:hint="eastAsia"/>
              </w:rPr>
              <w:t>新生水库</w:t>
            </w:r>
          </w:p>
        </w:tc>
        <w:tc>
          <w:tcPr>
            <w:tcW w:w="1686" w:type="dxa"/>
            <w:shd w:val="clear" w:color="auto" w:fill="auto"/>
            <w:noWrap/>
            <w:vAlign w:val="center"/>
          </w:tcPr>
          <w:p>
            <w:pPr>
              <w:pStyle w:val="52"/>
            </w:pPr>
            <w:r>
              <w:rPr>
                <w:rFonts w:hint="eastAsia"/>
              </w:rPr>
              <w:t>遂宁县</w:t>
            </w:r>
          </w:p>
        </w:tc>
        <w:tc>
          <w:tcPr>
            <w:tcW w:w="729" w:type="dxa"/>
            <w:shd w:val="clear" w:color="auto" w:fill="auto"/>
            <w:noWrap/>
            <w:vAlign w:val="center"/>
          </w:tcPr>
          <w:p>
            <w:pPr>
              <w:pStyle w:val="52"/>
            </w:pPr>
            <w:r>
              <w:t>2</w:t>
            </w:r>
          </w:p>
        </w:tc>
        <w:tc>
          <w:tcPr>
            <w:tcW w:w="729" w:type="dxa"/>
            <w:shd w:val="clear" w:color="auto" w:fill="auto"/>
            <w:noWrap/>
            <w:vAlign w:val="center"/>
          </w:tcPr>
          <w:p>
            <w:pPr>
              <w:pStyle w:val="52"/>
            </w:pPr>
            <w:r>
              <w:t>2</w:t>
            </w:r>
          </w:p>
        </w:tc>
        <w:tc>
          <w:tcPr>
            <w:tcW w:w="729" w:type="dxa"/>
            <w:shd w:val="clear" w:color="auto" w:fill="auto"/>
            <w:noWrap/>
            <w:vAlign w:val="center"/>
          </w:tcPr>
          <w:p>
            <w:pPr>
              <w:pStyle w:val="52"/>
            </w:pPr>
            <w:r>
              <w:t>2</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已建</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430" w:hRule="atLeast"/>
          <w:jc w:val="center"/>
        </w:trPr>
        <w:tc>
          <w:tcPr>
            <w:tcW w:w="636" w:type="dxa"/>
            <w:shd w:val="clear" w:color="auto" w:fill="auto"/>
            <w:noWrap/>
            <w:vAlign w:val="center"/>
          </w:tcPr>
          <w:p>
            <w:pPr>
              <w:pStyle w:val="52"/>
            </w:pPr>
            <w:r>
              <w:t>11</w:t>
            </w:r>
          </w:p>
        </w:tc>
        <w:tc>
          <w:tcPr>
            <w:tcW w:w="1476" w:type="dxa"/>
            <w:shd w:val="clear" w:color="auto" w:fill="auto"/>
            <w:noWrap/>
            <w:vAlign w:val="center"/>
          </w:tcPr>
          <w:p>
            <w:pPr>
              <w:pStyle w:val="52"/>
            </w:pPr>
            <w:r>
              <w:rPr>
                <w:rFonts w:hint="eastAsia"/>
              </w:rPr>
              <w:t>双河水库</w:t>
            </w:r>
          </w:p>
        </w:tc>
        <w:tc>
          <w:tcPr>
            <w:tcW w:w="1686" w:type="dxa"/>
            <w:shd w:val="clear" w:color="auto" w:fill="auto"/>
            <w:noWrap/>
            <w:vAlign w:val="center"/>
          </w:tcPr>
          <w:p>
            <w:pPr>
              <w:pStyle w:val="52"/>
            </w:pPr>
            <w:r>
              <w:rPr>
                <w:rFonts w:hint="eastAsia"/>
              </w:rPr>
              <w:t>长丰县</w:t>
            </w:r>
          </w:p>
        </w:tc>
        <w:tc>
          <w:tcPr>
            <w:tcW w:w="729" w:type="dxa"/>
            <w:shd w:val="clear" w:color="auto" w:fill="auto"/>
            <w:noWrap/>
            <w:vAlign w:val="center"/>
          </w:tcPr>
          <w:p>
            <w:pPr>
              <w:pStyle w:val="52"/>
            </w:pPr>
            <w:r>
              <w:t>2</w:t>
            </w:r>
          </w:p>
        </w:tc>
        <w:tc>
          <w:tcPr>
            <w:tcW w:w="729" w:type="dxa"/>
            <w:shd w:val="clear" w:color="auto" w:fill="auto"/>
            <w:noWrap/>
            <w:vAlign w:val="center"/>
          </w:tcPr>
          <w:p>
            <w:pPr>
              <w:pStyle w:val="52"/>
            </w:pPr>
            <w:r>
              <w:t>2</w:t>
            </w:r>
          </w:p>
        </w:tc>
        <w:tc>
          <w:tcPr>
            <w:tcW w:w="729" w:type="dxa"/>
            <w:shd w:val="clear" w:color="auto" w:fill="auto"/>
            <w:noWrap/>
            <w:vAlign w:val="center"/>
          </w:tcPr>
          <w:p>
            <w:pPr>
              <w:pStyle w:val="52"/>
            </w:pPr>
            <w:r>
              <w:t>2</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已建</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430" w:hRule="atLeast"/>
          <w:jc w:val="center"/>
        </w:trPr>
        <w:tc>
          <w:tcPr>
            <w:tcW w:w="636" w:type="dxa"/>
            <w:shd w:val="clear" w:color="auto" w:fill="auto"/>
            <w:noWrap/>
            <w:vAlign w:val="center"/>
          </w:tcPr>
          <w:p>
            <w:pPr>
              <w:pStyle w:val="52"/>
            </w:pPr>
            <w:r>
              <w:t>12</w:t>
            </w:r>
          </w:p>
        </w:tc>
        <w:tc>
          <w:tcPr>
            <w:tcW w:w="1476" w:type="dxa"/>
            <w:shd w:val="clear" w:color="auto" w:fill="auto"/>
            <w:noWrap/>
            <w:vAlign w:val="center"/>
          </w:tcPr>
          <w:p>
            <w:pPr>
              <w:pStyle w:val="52"/>
            </w:pPr>
            <w:r>
              <w:rPr>
                <w:rFonts w:hint="eastAsia"/>
              </w:rPr>
              <w:t>庆丰水库</w:t>
            </w:r>
          </w:p>
        </w:tc>
        <w:tc>
          <w:tcPr>
            <w:tcW w:w="1686" w:type="dxa"/>
            <w:shd w:val="clear" w:color="auto" w:fill="auto"/>
            <w:noWrap/>
            <w:vAlign w:val="center"/>
          </w:tcPr>
          <w:p>
            <w:pPr>
              <w:pStyle w:val="52"/>
            </w:pPr>
            <w:r>
              <w:rPr>
                <w:rFonts w:hint="eastAsia"/>
              </w:rPr>
              <w:t>牟定县</w:t>
            </w:r>
          </w:p>
        </w:tc>
        <w:tc>
          <w:tcPr>
            <w:tcW w:w="729" w:type="dxa"/>
            <w:shd w:val="clear" w:color="auto" w:fill="auto"/>
            <w:noWrap/>
            <w:vAlign w:val="center"/>
          </w:tcPr>
          <w:p>
            <w:pPr>
              <w:pStyle w:val="52"/>
            </w:pPr>
            <w:r>
              <w:t>1</w:t>
            </w:r>
          </w:p>
        </w:tc>
        <w:tc>
          <w:tcPr>
            <w:tcW w:w="729" w:type="dxa"/>
            <w:shd w:val="clear" w:color="auto" w:fill="auto"/>
            <w:noWrap/>
            <w:vAlign w:val="center"/>
          </w:tcPr>
          <w:p>
            <w:pPr>
              <w:pStyle w:val="52"/>
            </w:pPr>
            <w:r>
              <w:t>1</w:t>
            </w:r>
          </w:p>
        </w:tc>
        <w:tc>
          <w:tcPr>
            <w:tcW w:w="729" w:type="dxa"/>
            <w:shd w:val="clear" w:color="auto" w:fill="auto"/>
            <w:noWrap/>
            <w:vAlign w:val="center"/>
          </w:tcPr>
          <w:p>
            <w:pPr>
              <w:pStyle w:val="52"/>
            </w:pPr>
            <w:r>
              <w:t>1</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已建</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430" w:hRule="atLeast"/>
          <w:jc w:val="center"/>
        </w:trPr>
        <w:tc>
          <w:tcPr>
            <w:tcW w:w="636" w:type="dxa"/>
            <w:shd w:val="clear" w:color="auto" w:fill="auto"/>
            <w:noWrap/>
            <w:vAlign w:val="center"/>
          </w:tcPr>
          <w:p>
            <w:pPr>
              <w:pStyle w:val="52"/>
            </w:pPr>
            <w:r>
              <w:t>13</w:t>
            </w:r>
          </w:p>
        </w:tc>
        <w:tc>
          <w:tcPr>
            <w:tcW w:w="1476" w:type="dxa"/>
            <w:shd w:val="clear" w:color="auto" w:fill="auto"/>
            <w:noWrap/>
            <w:vAlign w:val="center"/>
          </w:tcPr>
          <w:p>
            <w:pPr>
              <w:pStyle w:val="52"/>
            </w:pPr>
            <w:r>
              <w:rPr>
                <w:rFonts w:hint="eastAsia"/>
              </w:rPr>
              <w:t>麻栗树水库</w:t>
            </w:r>
          </w:p>
        </w:tc>
        <w:tc>
          <w:tcPr>
            <w:tcW w:w="1686" w:type="dxa"/>
            <w:shd w:val="clear" w:color="auto" w:fill="auto"/>
            <w:noWrap/>
            <w:vAlign w:val="center"/>
          </w:tcPr>
          <w:p>
            <w:pPr>
              <w:pStyle w:val="52"/>
            </w:pPr>
            <w:r>
              <w:rPr>
                <w:rFonts w:hint="eastAsia"/>
              </w:rPr>
              <w:t>永仁县</w:t>
            </w:r>
          </w:p>
        </w:tc>
        <w:tc>
          <w:tcPr>
            <w:tcW w:w="729" w:type="dxa"/>
            <w:shd w:val="clear" w:color="auto" w:fill="auto"/>
            <w:noWrap/>
            <w:vAlign w:val="center"/>
          </w:tcPr>
          <w:p>
            <w:pPr>
              <w:pStyle w:val="52"/>
            </w:pPr>
            <w:r>
              <w:t>4</w:t>
            </w:r>
          </w:p>
        </w:tc>
        <w:tc>
          <w:tcPr>
            <w:tcW w:w="729" w:type="dxa"/>
            <w:shd w:val="clear" w:color="auto" w:fill="auto"/>
            <w:noWrap/>
            <w:vAlign w:val="center"/>
          </w:tcPr>
          <w:p>
            <w:pPr>
              <w:pStyle w:val="52"/>
            </w:pPr>
            <w:r>
              <w:t>4</w:t>
            </w:r>
          </w:p>
        </w:tc>
        <w:tc>
          <w:tcPr>
            <w:tcW w:w="729" w:type="dxa"/>
            <w:shd w:val="clear" w:color="auto" w:fill="auto"/>
            <w:noWrap/>
            <w:vAlign w:val="center"/>
          </w:tcPr>
          <w:p>
            <w:pPr>
              <w:pStyle w:val="52"/>
            </w:pPr>
            <w:r>
              <w:t>4</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已建</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430" w:hRule="atLeast"/>
          <w:jc w:val="center"/>
        </w:trPr>
        <w:tc>
          <w:tcPr>
            <w:tcW w:w="636" w:type="dxa"/>
            <w:shd w:val="clear" w:color="auto" w:fill="auto"/>
            <w:noWrap/>
            <w:vAlign w:val="center"/>
          </w:tcPr>
          <w:p>
            <w:pPr>
              <w:pStyle w:val="52"/>
            </w:pPr>
            <w:r>
              <w:t>14</w:t>
            </w:r>
          </w:p>
        </w:tc>
        <w:tc>
          <w:tcPr>
            <w:tcW w:w="1476" w:type="dxa"/>
            <w:shd w:val="clear" w:color="auto" w:fill="auto"/>
            <w:noWrap/>
            <w:vAlign w:val="center"/>
          </w:tcPr>
          <w:p>
            <w:pPr>
              <w:pStyle w:val="52"/>
            </w:pPr>
            <w:r>
              <w:rPr>
                <w:rFonts w:hint="eastAsia"/>
              </w:rPr>
              <w:t>九龙甸水库</w:t>
            </w:r>
          </w:p>
        </w:tc>
        <w:tc>
          <w:tcPr>
            <w:tcW w:w="1686" w:type="dxa"/>
            <w:shd w:val="clear" w:color="auto" w:fill="auto"/>
            <w:noWrap/>
            <w:vAlign w:val="center"/>
          </w:tcPr>
          <w:p>
            <w:pPr>
              <w:pStyle w:val="52"/>
            </w:pPr>
            <w:r>
              <w:rPr>
                <w:rFonts w:hint="eastAsia"/>
              </w:rPr>
              <w:t>楚雄市</w:t>
            </w:r>
          </w:p>
        </w:tc>
        <w:tc>
          <w:tcPr>
            <w:tcW w:w="729" w:type="dxa"/>
            <w:shd w:val="clear" w:color="auto" w:fill="auto"/>
            <w:noWrap/>
            <w:vAlign w:val="center"/>
          </w:tcPr>
          <w:p>
            <w:pPr>
              <w:pStyle w:val="52"/>
            </w:pPr>
            <w:r>
              <w:t>1</w:t>
            </w:r>
          </w:p>
        </w:tc>
        <w:tc>
          <w:tcPr>
            <w:tcW w:w="729" w:type="dxa"/>
            <w:shd w:val="clear" w:color="auto" w:fill="auto"/>
            <w:noWrap/>
            <w:vAlign w:val="center"/>
          </w:tcPr>
          <w:p>
            <w:pPr>
              <w:pStyle w:val="52"/>
            </w:pPr>
            <w:r>
              <w:t>1</w:t>
            </w:r>
          </w:p>
        </w:tc>
        <w:tc>
          <w:tcPr>
            <w:tcW w:w="729" w:type="dxa"/>
            <w:shd w:val="clear" w:color="auto" w:fill="auto"/>
            <w:noWrap/>
            <w:vAlign w:val="center"/>
          </w:tcPr>
          <w:p>
            <w:pPr>
              <w:pStyle w:val="52"/>
            </w:pPr>
            <w:r>
              <w:t>1</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已建</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430" w:hRule="atLeast"/>
          <w:jc w:val="center"/>
        </w:trPr>
        <w:tc>
          <w:tcPr>
            <w:tcW w:w="636" w:type="dxa"/>
            <w:shd w:val="clear" w:color="auto" w:fill="auto"/>
            <w:noWrap/>
            <w:vAlign w:val="center"/>
          </w:tcPr>
          <w:p>
            <w:pPr>
              <w:pStyle w:val="52"/>
            </w:pPr>
            <w:r>
              <w:t>15</w:t>
            </w:r>
          </w:p>
        </w:tc>
        <w:tc>
          <w:tcPr>
            <w:tcW w:w="1476" w:type="dxa"/>
            <w:shd w:val="clear" w:color="auto" w:fill="auto"/>
            <w:noWrap/>
            <w:vAlign w:val="center"/>
          </w:tcPr>
          <w:p>
            <w:pPr>
              <w:pStyle w:val="52"/>
            </w:pPr>
            <w:r>
              <w:rPr>
                <w:rFonts w:hint="eastAsia"/>
              </w:rPr>
              <w:t>金乐水库</w:t>
            </w:r>
          </w:p>
        </w:tc>
        <w:tc>
          <w:tcPr>
            <w:tcW w:w="1686" w:type="dxa"/>
            <w:shd w:val="clear" w:color="auto" w:fill="auto"/>
            <w:noWrap/>
            <w:vAlign w:val="center"/>
          </w:tcPr>
          <w:p>
            <w:pPr>
              <w:pStyle w:val="52"/>
            </w:pPr>
            <w:r>
              <w:rPr>
                <w:rFonts w:hint="eastAsia"/>
              </w:rPr>
              <w:t>会泽县</w:t>
            </w:r>
          </w:p>
        </w:tc>
        <w:tc>
          <w:tcPr>
            <w:tcW w:w="729" w:type="dxa"/>
            <w:shd w:val="clear" w:color="auto" w:fill="auto"/>
            <w:noWrap/>
            <w:vAlign w:val="center"/>
          </w:tcPr>
          <w:p>
            <w:pPr>
              <w:pStyle w:val="52"/>
            </w:pPr>
            <w:r>
              <w:t>1</w:t>
            </w:r>
          </w:p>
        </w:tc>
        <w:tc>
          <w:tcPr>
            <w:tcW w:w="729" w:type="dxa"/>
            <w:shd w:val="clear" w:color="auto" w:fill="auto"/>
            <w:noWrap/>
            <w:vAlign w:val="center"/>
          </w:tcPr>
          <w:p>
            <w:pPr>
              <w:pStyle w:val="52"/>
            </w:pPr>
            <w:r>
              <w:t>1</w:t>
            </w:r>
          </w:p>
        </w:tc>
        <w:tc>
          <w:tcPr>
            <w:tcW w:w="729" w:type="dxa"/>
            <w:shd w:val="clear" w:color="auto" w:fill="auto"/>
            <w:noWrap/>
            <w:vAlign w:val="center"/>
          </w:tcPr>
          <w:p>
            <w:pPr>
              <w:pStyle w:val="52"/>
            </w:pPr>
            <w:r>
              <w:t>1</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已建</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430" w:hRule="atLeast"/>
          <w:jc w:val="center"/>
        </w:trPr>
        <w:tc>
          <w:tcPr>
            <w:tcW w:w="636" w:type="dxa"/>
            <w:shd w:val="clear" w:color="auto" w:fill="auto"/>
            <w:noWrap/>
            <w:vAlign w:val="center"/>
          </w:tcPr>
          <w:p>
            <w:pPr>
              <w:pStyle w:val="52"/>
            </w:pPr>
            <w:r>
              <w:t>16</w:t>
            </w:r>
          </w:p>
        </w:tc>
        <w:tc>
          <w:tcPr>
            <w:tcW w:w="1476" w:type="dxa"/>
            <w:shd w:val="clear" w:color="auto" w:fill="auto"/>
            <w:noWrap/>
            <w:vAlign w:val="center"/>
          </w:tcPr>
          <w:p>
            <w:pPr>
              <w:pStyle w:val="52"/>
            </w:pPr>
            <w:r>
              <w:rPr>
                <w:rFonts w:hint="eastAsia"/>
              </w:rPr>
              <w:t>东屯水库</w:t>
            </w:r>
          </w:p>
        </w:tc>
        <w:tc>
          <w:tcPr>
            <w:tcW w:w="1686" w:type="dxa"/>
            <w:shd w:val="clear" w:color="auto" w:fill="auto"/>
            <w:noWrap/>
            <w:vAlign w:val="center"/>
          </w:tcPr>
          <w:p>
            <w:pPr>
              <w:pStyle w:val="52"/>
            </w:pPr>
            <w:r>
              <w:rPr>
                <w:rFonts w:hint="eastAsia"/>
              </w:rPr>
              <w:t>宣威市</w:t>
            </w:r>
          </w:p>
        </w:tc>
        <w:tc>
          <w:tcPr>
            <w:tcW w:w="729" w:type="dxa"/>
            <w:shd w:val="clear" w:color="auto" w:fill="auto"/>
            <w:noWrap/>
            <w:vAlign w:val="center"/>
          </w:tcPr>
          <w:p>
            <w:pPr>
              <w:pStyle w:val="52"/>
            </w:pPr>
            <w:r>
              <w:t>1</w:t>
            </w:r>
          </w:p>
        </w:tc>
        <w:tc>
          <w:tcPr>
            <w:tcW w:w="729" w:type="dxa"/>
            <w:shd w:val="clear" w:color="auto" w:fill="auto"/>
            <w:noWrap/>
            <w:vAlign w:val="center"/>
          </w:tcPr>
          <w:p>
            <w:pPr>
              <w:pStyle w:val="52"/>
            </w:pPr>
            <w:r>
              <w:t>1</w:t>
            </w:r>
          </w:p>
        </w:tc>
        <w:tc>
          <w:tcPr>
            <w:tcW w:w="729" w:type="dxa"/>
            <w:shd w:val="clear" w:color="auto" w:fill="auto"/>
            <w:noWrap/>
            <w:vAlign w:val="center"/>
          </w:tcPr>
          <w:p>
            <w:pPr>
              <w:pStyle w:val="52"/>
            </w:pPr>
            <w:r>
              <w:t>1</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已建</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430" w:hRule="atLeast"/>
          <w:jc w:val="center"/>
        </w:trPr>
        <w:tc>
          <w:tcPr>
            <w:tcW w:w="636" w:type="dxa"/>
            <w:shd w:val="clear" w:color="auto" w:fill="auto"/>
            <w:noWrap/>
            <w:vAlign w:val="center"/>
          </w:tcPr>
          <w:p>
            <w:pPr>
              <w:pStyle w:val="52"/>
            </w:pPr>
            <w:r>
              <w:t>17</w:t>
            </w:r>
          </w:p>
        </w:tc>
        <w:tc>
          <w:tcPr>
            <w:tcW w:w="1476" w:type="dxa"/>
            <w:shd w:val="clear" w:color="auto" w:fill="auto"/>
            <w:noWrap/>
            <w:vAlign w:val="center"/>
          </w:tcPr>
          <w:p>
            <w:pPr>
              <w:pStyle w:val="52"/>
            </w:pPr>
            <w:r>
              <w:rPr>
                <w:rFonts w:hint="eastAsia"/>
              </w:rPr>
              <w:t>白鹤水库</w:t>
            </w:r>
          </w:p>
        </w:tc>
        <w:tc>
          <w:tcPr>
            <w:tcW w:w="1686" w:type="dxa"/>
            <w:shd w:val="clear" w:color="auto" w:fill="auto"/>
            <w:noWrap/>
            <w:vAlign w:val="center"/>
          </w:tcPr>
          <w:p>
            <w:pPr>
              <w:pStyle w:val="52"/>
            </w:pPr>
            <w:r>
              <w:rPr>
                <w:rFonts w:hint="eastAsia"/>
              </w:rPr>
              <w:t>大姚县</w:t>
            </w:r>
          </w:p>
        </w:tc>
        <w:tc>
          <w:tcPr>
            <w:tcW w:w="729" w:type="dxa"/>
            <w:shd w:val="clear" w:color="auto" w:fill="auto"/>
            <w:noWrap/>
            <w:vAlign w:val="center"/>
          </w:tcPr>
          <w:p>
            <w:pPr>
              <w:pStyle w:val="52"/>
            </w:pPr>
            <w:r>
              <w:t>39</w:t>
            </w:r>
          </w:p>
        </w:tc>
        <w:tc>
          <w:tcPr>
            <w:tcW w:w="729" w:type="dxa"/>
            <w:shd w:val="clear" w:color="auto" w:fill="auto"/>
            <w:noWrap/>
            <w:vAlign w:val="center"/>
          </w:tcPr>
          <w:p>
            <w:pPr>
              <w:pStyle w:val="52"/>
            </w:pPr>
            <w:r>
              <w:t>39</w:t>
            </w:r>
          </w:p>
        </w:tc>
        <w:tc>
          <w:tcPr>
            <w:tcW w:w="729" w:type="dxa"/>
            <w:shd w:val="clear" w:color="auto" w:fill="auto"/>
            <w:noWrap/>
            <w:vAlign w:val="center"/>
          </w:tcPr>
          <w:p>
            <w:pPr>
              <w:pStyle w:val="52"/>
            </w:pPr>
            <w:r>
              <w:t>39</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已建</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430" w:hRule="atLeast"/>
          <w:jc w:val="center"/>
        </w:trPr>
        <w:tc>
          <w:tcPr>
            <w:tcW w:w="636" w:type="dxa"/>
            <w:shd w:val="clear" w:color="auto" w:fill="auto"/>
            <w:noWrap/>
            <w:vAlign w:val="center"/>
          </w:tcPr>
          <w:p>
            <w:pPr>
              <w:pStyle w:val="52"/>
            </w:pPr>
            <w:r>
              <w:t>18</w:t>
            </w:r>
          </w:p>
        </w:tc>
        <w:tc>
          <w:tcPr>
            <w:tcW w:w="1476" w:type="dxa"/>
            <w:shd w:val="clear" w:color="auto" w:fill="auto"/>
            <w:noWrap/>
            <w:vAlign w:val="center"/>
          </w:tcPr>
          <w:p>
            <w:pPr>
              <w:pStyle w:val="52"/>
            </w:pPr>
            <w:r>
              <w:rPr>
                <w:rFonts w:hint="eastAsia"/>
              </w:rPr>
              <w:t>小石门水库</w:t>
            </w:r>
          </w:p>
        </w:tc>
        <w:tc>
          <w:tcPr>
            <w:tcW w:w="1686" w:type="dxa"/>
            <w:shd w:val="clear" w:color="auto" w:fill="auto"/>
            <w:noWrap/>
            <w:vAlign w:val="center"/>
          </w:tcPr>
          <w:p>
            <w:pPr>
              <w:pStyle w:val="52"/>
            </w:pPr>
            <w:r>
              <w:rPr>
                <w:rFonts w:hint="eastAsia"/>
              </w:rPr>
              <w:t>牟定县</w:t>
            </w:r>
          </w:p>
        </w:tc>
        <w:tc>
          <w:tcPr>
            <w:tcW w:w="729" w:type="dxa"/>
            <w:shd w:val="clear" w:color="auto" w:fill="auto"/>
            <w:noWrap/>
            <w:vAlign w:val="center"/>
          </w:tcPr>
          <w:p>
            <w:pPr>
              <w:pStyle w:val="52"/>
            </w:pPr>
            <w:r>
              <w:rPr>
                <w:rFonts w:hint="eastAsia"/>
              </w:rPr>
              <w:t>　</w:t>
            </w:r>
          </w:p>
        </w:tc>
        <w:tc>
          <w:tcPr>
            <w:tcW w:w="729" w:type="dxa"/>
            <w:shd w:val="clear" w:color="auto" w:fill="auto"/>
            <w:noWrap/>
            <w:vAlign w:val="center"/>
          </w:tcPr>
          <w:p>
            <w:pPr>
              <w:pStyle w:val="52"/>
            </w:pPr>
            <w:r>
              <w:rPr>
                <w:rFonts w:hint="eastAsia"/>
              </w:rPr>
              <w:t>　</w:t>
            </w:r>
          </w:p>
        </w:tc>
        <w:tc>
          <w:tcPr>
            <w:tcW w:w="729"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拟建</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430" w:hRule="atLeast"/>
          <w:jc w:val="center"/>
        </w:trPr>
        <w:tc>
          <w:tcPr>
            <w:tcW w:w="636" w:type="dxa"/>
            <w:shd w:val="clear" w:color="auto" w:fill="auto"/>
            <w:noWrap/>
            <w:vAlign w:val="center"/>
          </w:tcPr>
          <w:p>
            <w:pPr>
              <w:pStyle w:val="52"/>
            </w:pPr>
            <w:r>
              <w:t>19</w:t>
            </w:r>
          </w:p>
        </w:tc>
        <w:tc>
          <w:tcPr>
            <w:tcW w:w="1476" w:type="dxa"/>
            <w:shd w:val="clear" w:color="auto" w:fill="auto"/>
            <w:noWrap/>
            <w:vAlign w:val="center"/>
          </w:tcPr>
          <w:p>
            <w:pPr>
              <w:pStyle w:val="52"/>
            </w:pPr>
            <w:r>
              <w:rPr>
                <w:rFonts w:hint="eastAsia"/>
              </w:rPr>
              <w:t>定远河水库</w:t>
            </w:r>
          </w:p>
        </w:tc>
        <w:tc>
          <w:tcPr>
            <w:tcW w:w="1686" w:type="dxa"/>
            <w:shd w:val="clear" w:color="auto" w:fill="auto"/>
            <w:noWrap/>
            <w:vAlign w:val="center"/>
          </w:tcPr>
          <w:p>
            <w:pPr>
              <w:pStyle w:val="52"/>
            </w:pPr>
            <w:r>
              <w:rPr>
                <w:rFonts w:hint="eastAsia"/>
              </w:rPr>
              <w:t>牟定县</w:t>
            </w:r>
          </w:p>
        </w:tc>
        <w:tc>
          <w:tcPr>
            <w:tcW w:w="729" w:type="dxa"/>
            <w:shd w:val="clear" w:color="auto" w:fill="auto"/>
            <w:noWrap/>
            <w:vAlign w:val="center"/>
          </w:tcPr>
          <w:p>
            <w:pPr>
              <w:pStyle w:val="52"/>
            </w:pPr>
            <w:r>
              <w:rPr>
                <w:rFonts w:hint="eastAsia"/>
              </w:rPr>
              <w:t>　</w:t>
            </w:r>
          </w:p>
        </w:tc>
        <w:tc>
          <w:tcPr>
            <w:tcW w:w="729" w:type="dxa"/>
            <w:shd w:val="clear" w:color="auto" w:fill="auto"/>
            <w:noWrap/>
            <w:vAlign w:val="center"/>
          </w:tcPr>
          <w:p>
            <w:pPr>
              <w:pStyle w:val="52"/>
            </w:pPr>
            <w:r>
              <w:rPr>
                <w:rFonts w:hint="eastAsia"/>
              </w:rPr>
              <w:t>　</w:t>
            </w:r>
          </w:p>
        </w:tc>
        <w:tc>
          <w:tcPr>
            <w:tcW w:w="729"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rPr>
                <w:rFonts w:hint="eastAsia"/>
              </w:rPr>
              <w:t>拟建</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430" w:hRule="atLeast"/>
          <w:jc w:val="center"/>
        </w:trPr>
        <w:tc>
          <w:tcPr>
            <w:tcW w:w="636" w:type="dxa"/>
            <w:shd w:val="clear" w:color="auto" w:fill="auto"/>
            <w:noWrap/>
            <w:vAlign w:val="center"/>
          </w:tcPr>
          <w:p>
            <w:pPr>
              <w:pStyle w:val="52"/>
            </w:pPr>
            <w:r>
              <w:rPr>
                <w:rFonts w:hint="eastAsia"/>
              </w:rPr>
              <w:t>总计</w:t>
            </w:r>
          </w:p>
        </w:tc>
        <w:tc>
          <w:tcPr>
            <w:tcW w:w="1476" w:type="dxa"/>
            <w:shd w:val="clear" w:color="auto" w:fill="auto"/>
            <w:noWrap/>
            <w:vAlign w:val="center"/>
          </w:tcPr>
          <w:p>
            <w:pPr>
              <w:pStyle w:val="52"/>
            </w:pPr>
            <w:r>
              <w:rPr>
                <w:rFonts w:hint="eastAsia"/>
              </w:rPr>
              <w:t>　</w:t>
            </w:r>
          </w:p>
        </w:tc>
        <w:tc>
          <w:tcPr>
            <w:tcW w:w="1686" w:type="dxa"/>
            <w:shd w:val="clear" w:color="auto" w:fill="auto"/>
            <w:noWrap/>
            <w:vAlign w:val="center"/>
          </w:tcPr>
          <w:p>
            <w:pPr>
              <w:pStyle w:val="52"/>
            </w:pPr>
            <w:r>
              <w:rPr>
                <w:rFonts w:hint="eastAsia"/>
              </w:rPr>
              <w:t>　</w:t>
            </w:r>
          </w:p>
        </w:tc>
        <w:tc>
          <w:tcPr>
            <w:tcW w:w="729" w:type="dxa"/>
            <w:shd w:val="clear" w:color="auto" w:fill="auto"/>
            <w:noWrap/>
            <w:vAlign w:val="center"/>
          </w:tcPr>
          <w:p>
            <w:pPr>
              <w:pStyle w:val="52"/>
            </w:pPr>
            <w:r>
              <w:t>14566</w:t>
            </w:r>
          </w:p>
        </w:tc>
        <w:tc>
          <w:tcPr>
            <w:tcW w:w="729" w:type="dxa"/>
            <w:shd w:val="clear" w:color="auto" w:fill="auto"/>
            <w:noWrap/>
            <w:vAlign w:val="center"/>
          </w:tcPr>
          <w:p>
            <w:pPr>
              <w:pStyle w:val="52"/>
            </w:pPr>
            <w:r>
              <w:t>14014</w:t>
            </w:r>
          </w:p>
        </w:tc>
        <w:tc>
          <w:tcPr>
            <w:tcW w:w="729" w:type="dxa"/>
            <w:shd w:val="clear" w:color="auto" w:fill="auto"/>
            <w:noWrap/>
            <w:vAlign w:val="center"/>
          </w:tcPr>
          <w:p>
            <w:pPr>
              <w:pStyle w:val="52"/>
            </w:pPr>
            <w:r>
              <w:t>14014</w:t>
            </w:r>
          </w:p>
        </w:tc>
        <w:tc>
          <w:tcPr>
            <w:tcW w:w="636" w:type="dxa"/>
            <w:shd w:val="clear" w:color="auto" w:fill="auto"/>
            <w:noWrap/>
            <w:vAlign w:val="center"/>
          </w:tcPr>
          <w:p>
            <w:pPr>
              <w:pStyle w:val="52"/>
            </w:pPr>
            <w:r>
              <w:rPr>
                <w:rFonts w:hint="eastAsia"/>
              </w:rPr>
              <w:t>　</w:t>
            </w:r>
          </w:p>
        </w:tc>
        <w:tc>
          <w:tcPr>
            <w:tcW w:w="636" w:type="dxa"/>
            <w:shd w:val="clear" w:color="auto" w:fill="auto"/>
            <w:noWrap/>
            <w:vAlign w:val="center"/>
          </w:tcPr>
          <w:p>
            <w:pPr>
              <w:pStyle w:val="52"/>
            </w:pPr>
            <w:r>
              <w:t>552</w:t>
            </w:r>
          </w:p>
        </w:tc>
        <w:tc>
          <w:tcPr>
            <w:tcW w:w="636" w:type="dxa"/>
            <w:shd w:val="clear" w:color="auto" w:fill="auto"/>
            <w:noWrap/>
            <w:vAlign w:val="center"/>
          </w:tcPr>
          <w:p>
            <w:pPr>
              <w:pStyle w:val="52"/>
            </w:pPr>
            <w:r>
              <w:t>405</w:t>
            </w:r>
          </w:p>
        </w:tc>
        <w:tc>
          <w:tcPr>
            <w:tcW w:w="636" w:type="dxa"/>
            <w:shd w:val="clear" w:color="auto" w:fill="auto"/>
            <w:noWrap/>
            <w:vAlign w:val="center"/>
          </w:tcPr>
          <w:p>
            <w:pPr>
              <w:pStyle w:val="52"/>
            </w:pPr>
            <w:r>
              <w:t>147</w:t>
            </w:r>
          </w:p>
        </w:tc>
        <w:tc>
          <w:tcPr>
            <w:tcW w:w="636" w:type="dxa"/>
            <w:shd w:val="clear" w:color="auto" w:fill="auto"/>
            <w:noWrap/>
            <w:vAlign w:val="center"/>
          </w:tcPr>
          <w:p>
            <w:pPr>
              <w:pStyle w:val="52"/>
            </w:pPr>
            <w:r>
              <w:rPr>
                <w:rFonts w:hint="eastAsia"/>
              </w:rPr>
              <w:t>　</w:t>
            </w:r>
          </w:p>
        </w:tc>
      </w:tr>
    </w:tbl>
    <w:p>
      <w:pPr>
        <w:pStyle w:val="43"/>
        <w:ind w:firstLine="560"/>
        <w:rPr>
          <w:lang w:bidi="en-US"/>
        </w:rPr>
      </w:pPr>
      <w:r>
        <w:rPr>
          <w:rFonts w:hint="eastAsia"/>
          <w:lang w:bidi="en-US"/>
        </w:rPr>
        <w:t>19座大中型水利水电工程中，丙间水库、河尾水库、麻柳水库、猛连水库、丙巷河水库坝址位于元谋县境内；其余14座大中型水利水电工程坝址位于其他县区。</w:t>
      </w:r>
    </w:p>
    <w:p>
      <w:pPr>
        <w:pStyle w:val="43"/>
        <w:ind w:firstLine="560"/>
        <w:rPr>
          <w:highlight w:val="yellow"/>
          <w:lang w:bidi="en-US"/>
        </w:rPr>
      </w:pPr>
      <w:r>
        <w:rPr>
          <w:rFonts w:hint="eastAsia"/>
          <w:lang w:bidi="en-US"/>
        </w:rPr>
        <w:t>本篇章重点对元谋县境内水库、乌东德水电站以及拟建水库等9座大中型水利水电工程进行介绍。</w:t>
      </w:r>
    </w:p>
    <w:p>
      <w:pPr>
        <w:pStyle w:val="41"/>
      </w:pPr>
      <w:r>
        <w:t>1.1.1　已建大中型水利水电工程</w:t>
      </w:r>
    </w:p>
    <w:p>
      <w:pPr>
        <w:pStyle w:val="54"/>
        <w:ind w:firstLine="560"/>
      </w:pPr>
      <w:r>
        <w:rPr>
          <w:rFonts w:hint="eastAsia"/>
        </w:rPr>
        <w:t>（1）乌东德水电站</w:t>
      </w:r>
    </w:p>
    <w:p>
      <w:pPr>
        <w:pStyle w:val="43"/>
        <w:ind w:firstLine="560"/>
        <w:rPr>
          <w:lang w:bidi="en-US"/>
        </w:rPr>
      </w:pPr>
      <w:r>
        <w:rPr>
          <w:lang w:bidi="en-US"/>
        </w:rPr>
        <w:t>元谋</w:t>
      </w:r>
      <w:r>
        <w:rPr>
          <w:rFonts w:hint="eastAsia"/>
          <w:lang w:bidi="en-US"/>
        </w:rPr>
        <w:t>县“十四五”期间已建大型水利水电工程1</w:t>
      </w:r>
      <w:r>
        <w:rPr>
          <w:lang w:bidi="en-US"/>
        </w:rPr>
        <w:t>座，为</w:t>
      </w:r>
      <w:r>
        <w:rPr>
          <w:rFonts w:hint="eastAsia"/>
          <w:lang w:bidi="en-US"/>
        </w:rPr>
        <w:t>乌东德</w:t>
      </w:r>
      <w:r>
        <w:rPr>
          <w:lang w:bidi="en-US"/>
        </w:rPr>
        <w:t xml:space="preserve">水电站。 </w:t>
      </w:r>
    </w:p>
    <w:p>
      <w:pPr>
        <w:pStyle w:val="43"/>
        <w:ind w:firstLine="560"/>
      </w:pPr>
      <w:r>
        <w:rPr>
          <w:rFonts w:hint="eastAsia"/>
        </w:rPr>
        <w:t>乌东德水电站是金沙江下游干流河段上四个水电梯级</w:t>
      </w:r>
      <w:r>
        <w:t>——</w:t>
      </w:r>
      <w:r>
        <w:rPr>
          <w:rFonts w:hint="eastAsia"/>
        </w:rPr>
        <w:t>乌东德、白鹤滩、溪洛渡和向家坝中的第一个梯级，属大型水库。坝址所处河段的右岸隶属云南省昆明市禄劝县，左岸隶属四川省会东县。</w:t>
      </w:r>
      <w:r>
        <w:t>2020</w:t>
      </w:r>
      <w:r>
        <w:rPr>
          <w:rFonts w:hint="eastAsia"/>
        </w:rPr>
        <w:t>年</w:t>
      </w:r>
      <w:r>
        <w:t>1</w:t>
      </w:r>
      <w:r>
        <w:rPr>
          <w:rFonts w:hint="eastAsia"/>
        </w:rPr>
        <w:t>月开始第一阶段蓄水。乌东德水</w:t>
      </w:r>
      <w:r>
        <w:t>电站开发任务是以发电为主，兼顾防洪、航运和促进地方经济社会发展。坝址控制流域面积40.61万km</w:t>
      </w:r>
      <w:r>
        <w:rPr>
          <w:vertAlign w:val="superscript"/>
        </w:rPr>
        <w:t>2</w:t>
      </w:r>
      <w:r>
        <w:t>，多年平均流量3830m</w:t>
      </w:r>
      <w:r>
        <w:rPr>
          <w:vertAlign w:val="superscript"/>
        </w:rPr>
        <w:t>3</w:t>
      </w:r>
      <w:r>
        <w:t>/s，多年平均径流量1207亿m</w:t>
      </w:r>
      <w:r>
        <w:rPr>
          <w:vertAlign w:val="superscript"/>
        </w:rPr>
        <w:t>3</w:t>
      </w:r>
      <w:r>
        <w:t>。正常蓄水位975m，防洪限制水位952m，死水位945m，防洪高水位975m，设计洪水位979.38m，校核洪水位986.17m，总库容74.08亿m</w:t>
      </w:r>
      <w:r>
        <w:rPr>
          <w:vertAlign w:val="superscript"/>
        </w:rPr>
        <w:t>3</w:t>
      </w:r>
      <w:r>
        <w:t>，预留防洪库容24.4亿m</w:t>
      </w:r>
      <w:r>
        <w:rPr>
          <w:vertAlign w:val="superscript"/>
        </w:rPr>
        <w:t>3</w:t>
      </w:r>
      <w:r>
        <w:t>，调节库容30.20亿m</w:t>
      </w:r>
      <w:r>
        <w:rPr>
          <w:vertAlign w:val="superscript"/>
        </w:rPr>
        <w:t>3</w:t>
      </w:r>
      <w:r>
        <w:t>，库容系数2.50%，具有季调节能力。电站装机容量10200MW，多年平均发电量389.1亿kW</w:t>
      </w:r>
      <w:r>
        <w:rPr>
          <w:rFonts w:hint="eastAsia" w:eastAsia="宋体"/>
        </w:rPr>
        <w:t>•</w:t>
      </w:r>
      <w:r>
        <w:t>h</w:t>
      </w:r>
      <w:r>
        <w:rPr>
          <w:rFonts w:hint="eastAsia"/>
        </w:rPr>
        <w:t>。乌东德水电站已于</w:t>
      </w:r>
      <w:r>
        <w:t>2020年建成并投产发电。</w:t>
      </w:r>
    </w:p>
    <w:p>
      <w:pPr>
        <w:pStyle w:val="43"/>
        <w:ind w:firstLine="560"/>
      </w:pPr>
      <w:r>
        <w:rPr>
          <w:rFonts w:hint="eastAsia"/>
        </w:rPr>
        <w:t>乌东德水电站建设征地涉及元谋县江边乡、姜驿乡、物茂乡、黄瓜园镇4个乡镇，14个行政村，43个村民小组。建设征地总面积37.92</w:t>
      </w:r>
      <w:r>
        <w:t>km</w:t>
      </w:r>
      <w:r>
        <w:rPr>
          <w:vertAlign w:val="superscript"/>
        </w:rPr>
        <w:t>2</w:t>
      </w:r>
      <w:r>
        <w:rPr>
          <w:rFonts w:hint="eastAsia"/>
        </w:rPr>
        <w:t>，其中水库淹没区37.59</w:t>
      </w:r>
      <w:r>
        <w:t>km</w:t>
      </w:r>
      <w:r>
        <w:rPr>
          <w:vertAlign w:val="superscript"/>
        </w:rPr>
        <w:t>2</w:t>
      </w:r>
      <w:r>
        <w:rPr>
          <w:rFonts w:hint="eastAsia"/>
        </w:rPr>
        <w:t>（陆域面积27.72</w:t>
      </w:r>
      <w:r>
        <w:t>km</w:t>
      </w:r>
      <w:r>
        <w:rPr>
          <w:vertAlign w:val="superscript"/>
        </w:rPr>
        <w:t>2</w:t>
      </w:r>
      <w:r>
        <w:rPr>
          <w:rFonts w:hint="eastAsia"/>
        </w:rPr>
        <w:t>，水域面积9.87</w:t>
      </w:r>
      <w:r>
        <w:t>km</w:t>
      </w:r>
      <w:r>
        <w:rPr>
          <w:vertAlign w:val="superscript"/>
        </w:rPr>
        <w:t>2</w:t>
      </w:r>
      <w:r>
        <w:rPr>
          <w:rFonts w:hint="eastAsia"/>
        </w:rPr>
        <w:t>），水库影响处理区0.33</w:t>
      </w:r>
      <w:r>
        <w:t>km</w:t>
      </w:r>
      <w:r>
        <w:rPr>
          <w:vertAlign w:val="superscript"/>
        </w:rPr>
        <w:t>2</w:t>
      </w:r>
      <w:r>
        <w:rPr>
          <w:rFonts w:hint="eastAsia"/>
        </w:rPr>
        <w:t>。</w:t>
      </w:r>
      <w:r>
        <w:t>规划生产安置移民</w:t>
      </w:r>
      <w:r>
        <w:rPr>
          <w:rFonts w:hint="eastAsia"/>
        </w:rPr>
        <w:t>9682</w:t>
      </w:r>
      <w:r>
        <w:t>人，搬迁安置移民</w:t>
      </w:r>
      <w:r>
        <w:rPr>
          <w:rFonts w:hint="eastAsia"/>
        </w:rPr>
        <w:t>10149</w:t>
      </w:r>
      <w:r>
        <w:t>人。至2020年底，</w:t>
      </w:r>
      <w:r>
        <w:rPr>
          <w:rFonts w:hint="eastAsia"/>
        </w:rPr>
        <w:t>元谋</w:t>
      </w:r>
      <w:r>
        <w:t>县移民安置任务基本完成，剩少量就近分散生产安置人口</w:t>
      </w:r>
      <w:r>
        <w:rPr>
          <w:rFonts w:hint="eastAsia"/>
        </w:rPr>
        <w:t>147</w:t>
      </w:r>
      <w:r>
        <w:t>人和</w:t>
      </w:r>
      <w:r>
        <w:rPr>
          <w:rFonts w:hint="eastAsia"/>
        </w:rPr>
        <w:t>搬迁安置人口405人</w:t>
      </w:r>
      <w:r>
        <w:t>计划在20</w:t>
      </w:r>
      <w:r>
        <w:rPr>
          <w:rFonts w:hint="eastAsia"/>
        </w:rPr>
        <w:t>23</w:t>
      </w:r>
      <w:r>
        <w:t>年完成安置。</w:t>
      </w:r>
    </w:p>
    <w:p>
      <w:pPr>
        <w:pStyle w:val="54"/>
        <w:ind w:firstLine="560"/>
      </w:pPr>
      <w:r>
        <w:rPr>
          <w:rFonts w:hint="eastAsia"/>
        </w:rPr>
        <w:t>（2）丙间水库</w:t>
      </w:r>
    </w:p>
    <w:p>
      <w:pPr>
        <w:pStyle w:val="43"/>
        <w:ind w:firstLine="560"/>
        <w:rPr>
          <w:lang w:bidi="en-US"/>
        </w:rPr>
      </w:pPr>
      <w:r>
        <w:rPr>
          <w:rFonts w:hint="eastAsia"/>
          <w:lang w:bidi="en-US"/>
        </w:rPr>
        <w:t>元谋丙间水库于</w:t>
      </w:r>
      <w:r>
        <w:rPr>
          <w:lang w:bidi="en-US"/>
        </w:rPr>
        <w:t>1977</w:t>
      </w:r>
      <w:r>
        <w:rPr>
          <w:rFonts w:hint="eastAsia"/>
          <w:lang w:bidi="en-US"/>
        </w:rPr>
        <w:t>年</w:t>
      </w:r>
      <w:r>
        <w:rPr>
          <w:lang w:bidi="en-US"/>
        </w:rPr>
        <w:t>9</w:t>
      </w:r>
      <w:r>
        <w:rPr>
          <w:rFonts w:hint="eastAsia"/>
          <w:lang w:bidi="en-US"/>
        </w:rPr>
        <w:t>月动工兴建，到</w:t>
      </w:r>
      <w:r>
        <w:rPr>
          <w:lang w:bidi="en-US"/>
        </w:rPr>
        <w:t>1982</w:t>
      </w:r>
      <w:r>
        <w:rPr>
          <w:rFonts w:hint="eastAsia"/>
          <w:lang w:bidi="en-US"/>
        </w:rPr>
        <w:t>年</w:t>
      </w:r>
      <w:r>
        <w:rPr>
          <w:lang w:bidi="en-US"/>
        </w:rPr>
        <w:t>6</w:t>
      </w:r>
      <w:r>
        <w:rPr>
          <w:rFonts w:hint="eastAsia"/>
          <w:lang w:bidi="en-US"/>
        </w:rPr>
        <w:t>月基本建成。水库控制流域面积</w:t>
      </w:r>
      <w:r>
        <w:rPr>
          <w:lang w:bidi="en-US"/>
        </w:rPr>
        <w:t>15.8 km</w:t>
      </w:r>
      <w:r>
        <w:rPr>
          <w:vertAlign w:val="superscript"/>
          <w:lang w:bidi="en-US"/>
        </w:rPr>
        <w:t>2</w:t>
      </w:r>
      <w:r>
        <w:rPr>
          <w:rFonts w:hint="eastAsia"/>
          <w:lang w:bidi="en-US"/>
        </w:rPr>
        <w:t>，总库容</w:t>
      </w:r>
      <w:r>
        <w:rPr>
          <w:lang w:bidi="en-US"/>
        </w:rPr>
        <w:t>0.16</w:t>
      </w:r>
      <w:r>
        <w:rPr>
          <w:rFonts w:hint="eastAsia"/>
          <w:lang w:bidi="en-US"/>
        </w:rPr>
        <w:t>亿</w:t>
      </w:r>
      <w:r>
        <w:rPr>
          <w:lang w:bidi="en-US"/>
        </w:rPr>
        <w:t>m</w:t>
      </w:r>
      <w:r>
        <w:rPr>
          <w:vertAlign w:val="superscript"/>
          <w:lang w:bidi="en-US"/>
        </w:rPr>
        <w:t>3</w:t>
      </w:r>
      <w:r>
        <w:rPr>
          <w:rFonts w:hint="eastAsia"/>
          <w:lang w:bidi="en-US"/>
        </w:rPr>
        <w:t>，核定后期扶持人口197户566人。</w:t>
      </w:r>
    </w:p>
    <w:p>
      <w:pPr>
        <w:pStyle w:val="54"/>
        <w:ind w:firstLine="560"/>
      </w:pPr>
      <w:r>
        <w:rPr>
          <w:rFonts w:hint="eastAsia"/>
        </w:rPr>
        <w:t>（3）河尾水库</w:t>
      </w:r>
    </w:p>
    <w:p>
      <w:pPr>
        <w:pStyle w:val="43"/>
        <w:ind w:firstLine="560"/>
        <w:rPr>
          <w:lang w:bidi="en-US"/>
        </w:rPr>
      </w:pPr>
      <w:r>
        <w:rPr>
          <w:rFonts w:hint="eastAsia"/>
          <w:lang w:bidi="en-US"/>
        </w:rPr>
        <w:t>河尾水库于</w:t>
      </w:r>
      <w:r>
        <w:rPr>
          <w:lang w:bidi="en-US"/>
        </w:rPr>
        <w:t>1956</w:t>
      </w:r>
      <w:r>
        <w:rPr>
          <w:rFonts w:hint="eastAsia"/>
          <w:lang w:bidi="en-US"/>
        </w:rPr>
        <w:t>年</w:t>
      </w:r>
      <w:r>
        <w:rPr>
          <w:lang w:bidi="en-US"/>
        </w:rPr>
        <w:t>6</w:t>
      </w:r>
      <w:r>
        <w:rPr>
          <w:rFonts w:hint="eastAsia"/>
          <w:lang w:bidi="en-US"/>
        </w:rPr>
        <w:t>月动工兴建，到</w:t>
      </w:r>
      <w:r>
        <w:rPr>
          <w:lang w:bidi="en-US"/>
        </w:rPr>
        <w:t>1957</w:t>
      </w:r>
      <w:r>
        <w:rPr>
          <w:rFonts w:hint="eastAsia"/>
          <w:lang w:bidi="en-US"/>
        </w:rPr>
        <w:t>年</w:t>
      </w:r>
      <w:r>
        <w:rPr>
          <w:lang w:bidi="en-US"/>
        </w:rPr>
        <w:t>9</w:t>
      </w:r>
      <w:r>
        <w:rPr>
          <w:rFonts w:hint="eastAsia"/>
          <w:lang w:bidi="en-US"/>
        </w:rPr>
        <w:t>月基本建成。水库控制流域面积</w:t>
      </w:r>
      <w:r>
        <w:rPr>
          <w:lang w:bidi="en-US"/>
        </w:rPr>
        <w:t>92.1 km</w:t>
      </w:r>
      <w:r>
        <w:rPr>
          <w:vertAlign w:val="superscript"/>
          <w:lang w:bidi="en-US"/>
        </w:rPr>
        <w:t>2</w:t>
      </w:r>
      <w:r>
        <w:rPr>
          <w:rFonts w:hint="eastAsia"/>
          <w:lang w:bidi="en-US"/>
        </w:rPr>
        <w:t>，总库容</w:t>
      </w:r>
      <w:r>
        <w:rPr>
          <w:lang w:bidi="en-US"/>
        </w:rPr>
        <w:t>0.12</w:t>
      </w:r>
      <w:r>
        <w:rPr>
          <w:rFonts w:hint="eastAsia"/>
          <w:lang w:bidi="en-US"/>
        </w:rPr>
        <w:t>亿</w:t>
      </w:r>
      <w:r>
        <w:rPr>
          <w:lang w:bidi="en-US"/>
        </w:rPr>
        <w:t>m</w:t>
      </w:r>
      <w:r>
        <w:rPr>
          <w:vertAlign w:val="superscript"/>
          <w:lang w:bidi="en-US"/>
        </w:rPr>
        <w:t>3</w:t>
      </w:r>
      <w:r>
        <w:rPr>
          <w:rFonts w:hint="eastAsia"/>
          <w:lang w:bidi="en-US"/>
        </w:rPr>
        <w:t>，核定后期扶持人口364户1100人。</w:t>
      </w:r>
    </w:p>
    <w:p>
      <w:pPr>
        <w:pStyle w:val="54"/>
        <w:ind w:firstLine="560"/>
      </w:pPr>
      <w:r>
        <w:rPr>
          <w:rFonts w:hint="eastAsia"/>
        </w:rPr>
        <w:t>（4）麻柳水库</w:t>
      </w:r>
    </w:p>
    <w:p>
      <w:pPr>
        <w:pStyle w:val="43"/>
        <w:ind w:firstLine="560"/>
        <w:rPr>
          <w:lang w:bidi="en-US"/>
        </w:rPr>
      </w:pPr>
      <w:r>
        <w:rPr>
          <w:rFonts w:hint="eastAsia"/>
          <w:lang w:bidi="en-US"/>
        </w:rPr>
        <w:t>麻柳水库位于元谋县老城乡大丙间村的麻柳河上，属金沙江水系龙川江支流，距元谋县城</w:t>
      </w:r>
      <w:r>
        <w:rPr>
          <w:lang w:bidi="en-US"/>
        </w:rPr>
        <w:t>16</w:t>
      </w:r>
      <w:r>
        <w:rPr>
          <w:rFonts w:hint="eastAsia"/>
          <w:lang w:bidi="en-US"/>
        </w:rPr>
        <w:t xml:space="preserve"> k</w:t>
      </w:r>
      <w:r>
        <w:rPr>
          <w:lang w:bidi="en-US"/>
        </w:rPr>
        <w:t>m。设计总库容0.1982亿m³，防洪库容0.0227亿m³，最大坝高55.8m，水库淹没面积1.159km²，设计灌溉面积 2.3万亩，年供水量1600万m³，坝后电站装机容量1000kw，总投资0.1863亿元。工程于1986年9月动工兴建，1990年12月竣工。是一座以灌溉、供水为主，兼顾发电、防洪为一体的中型水利水电工程。水库移民涉及元马镇、老城乡、平田乡的22个村，共有移民人口210户818人</w:t>
      </w:r>
      <w:r>
        <w:rPr>
          <w:rFonts w:hint="eastAsia"/>
          <w:lang w:bidi="en-US"/>
        </w:rPr>
        <w:t>，核定后期扶持人口272户919人。</w:t>
      </w:r>
    </w:p>
    <w:p>
      <w:pPr>
        <w:pStyle w:val="54"/>
        <w:ind w:firstLine="560"/>
      </w:pPr>
      <w:r>
        <w:rPr>
          <w:rFonts w:hint="eastAsia"/>
        </w:rPr>
        <w:t>（5）猛连水库</w:t>
      </w:r>
    </w:p>
    <w:p>
      <w:pPr>
        <w:pStyle w:val="43"/>
        <w:ind w:firstLine="560"/>
        <w:rPr>
          <w:lang w:bidi="en-US"/>
        </w:rPr>
      </w:pPr>
      <w:r>
        <w:rPr>
          <w:rFonts w:hint="eastAsia"/>
          <w:lang w:bidi="en-US"/>
        </w:rPr>
        <w:t>猛连水库于</w:t>
      </w:r>
      <w:r>
        <w:rPr>
          <w:lang w:bidi="en-US"/>
        </w:rPr>
        <w:t>1959</w:t>
      </w:r>
      <w:r>
        <w:rPr>
          <w:rFonts w:hint="eastAsia"/>
          <w:lang w:bidi="en-US"/>
        </w:rPr>
        <w:t>年动工兴建，到</w:t>
      </w:r>
      <w:r>
        <w:rPr>
          <w:lang w:bidi="en-US"/>
        </w:rPr>
        <w:t>1966</w:t>
      </w:r>
      <w:r>
        <w:rPr>
          <w:rFonts w:hint="eastAsia"/>
          <w:lang w:bidi="en-US"/>
        </w:rPr>
        <w:t>年基本建成，</w:t>
      </w:r>
      <w:r>
        <w:rPr>
          <w:lang w:bidi="en-US"/>
        </w:rPr>
        <w:t>1982</w:t>
      </w:r>
      <w:r>
        <w:rPr>
          <w:rFonts w:hint="eastAsia"/>
          <w:lang w:bidi="en-US"/>
        </w:rPr>
        <w:t>年</w:t>
      </w:r>
      <w:r>
        <w:rPr>
          <w:lang w:bidi="en-US"/>
        </w:rPr>
        <w:t>11</w:t>
      </w:r>
      <w:r>
        <w:rPr>
          <w:rFonts w:hint="eastAsia"/>
          <w:lang w:bidi="en-US"/>
        </w:rPr>
        <w:t>月至</w:t>
      </w:r>
      <w:r>
        <w:rPr>
          <w:lang w:bidi="en-US"/>
        </w:rPr>
        <w:t>1987</w:t>
      </w:r>
      <w:r>
        <w:rPr>
          <w:rFonts w:hint="eastAsia"/>
          <w:lang w:bidi="en-US"/>
        </w:rPr>
        <w:t>年扩建。水库控制流域面积</w:t>
      </w:r>
      <w:r>
        <w:rPr>
          <w:lang w:bidi="en-US"/>
        </w:rPr>
        <w:t>5.3 km</w:t>
      </w:r>
      <w:r>
        <w:rPr>
          <w:vertAlign w:val="superscript"/>
          <w:lang w:bidi="en-US"/>
        </w:rPr>
        <w:t>2</w:t>
      </w:r>
      <w:r>
        <w:rPr>
          <w:rFonts w:hint="eastAsia"/>
          <w:lang w:bidi="en-US"/>
        </w:rPr>
        <w:t>，总库容</w:t>
      </w:r>
      <w:r>
        <w:rPr>
          <w:lang w:bidi="en-US"/>
        </w:rPr>
        <w:t>0.11</w:t>
      </w:r>
      <w:r>
        <w:rPr>
          <w:rFonts w:hint="eastAsia"/>
          <w:lang w:bidi="en-US"/>
        </w:rPr>
        <w:t>亿</w:t>
      </w:r>
      <w:r>
        <w:rPr>
          <w:lang w:bidi="en-US"/>
        </w:rPr>
        <w:t>m</w:t>
      </w:r>
      <w:r>
        <w:rPr>
          <w:vertAlign w:val="superscript"/>
          <w:lang w:bidi="en-US"/>
        </w:rPr>
        <w:t>3</w:t>
      </w:r>
      <w:r>
        <w:rPr>
          <w:rFonts w:hint="eastAsia"/>
          <w:lang w:bidi="en-US"/>
        </w:rPr>
        <w:t>，核定后期扶持人口132户370人。</w:t>
      </w:r>
    </w:p>
    <w:p>
      <w:pPr>
        <w:pStyle w:val="54"/>
        <w:ind w:firstLine="560"/>
      </w:pPr>
      <w:r>
        <w:rPr>
          <w:rFonts w:hint="eastAsia"/>
        </w:rPr>
        <w:t>（6）丙巷河水库</w:t>
      </w:r>
    </w:p>
    <w:p>
      <w:pPr>
        <w:pStyle w:val="43"/>
        <w:ind w:firstLine="560"/>
        <w:rPr>
          <w:lang w:bidi="en-US"/>
        </w:rPr>
      </w:pPr>
      <w:r>
        <w:rPr>
          <w:rFonts w:hint="eastAsia"/>
          <w:lang w:bidi="en-US"/>
        </w:rPr>
        <w:t>丙巷河水库于</w:t>
      </w:r>
      <w:r>
        <w:rPr>
          <w:lang w:bidi="en-US"/>
        </w:rPr>
        <w:t>2001</w:t>
      </w:r>
      <w:r>
        <w:rPr>
          <w:rFonts w:hint="eastAsia"/>
          <w:lang w:bidi="en-US"/>
        </w:rPr>
        <w:t>年</w:t>
      </w:r>
      <w:r>
        <w:rPr>
          <w:lang w:bidi="en-US"/>
        </w:rPr>
        <w:t>12</w:t>
      </w:r>
      <w:r>
        <w:rPr>
          <w:rFonts w:hint="eastAsia"/>
          <w:lang w:bidi="en-US"/>
        </w:rPr>
        <w:t>月</w:t>
      </w:r>
      <w:r>
        <w:rPr>
          <w:lang w:bidi="en-US"/>
        </w:rPr>
        <w:t>28</w:t>
      </w:r>
      <w:r>
        <w:rPr>
          <w:rFonts w:hint="eastAsia"/>
          <w:lang w:bidi="en-US"/>
        </w:rPr>
        <w:t>日动工兴建，到</w:t>
      </w:r>
      <w:r>
        <w:rPr>
          <w:lang w:bidi="en-US"/>
        </w:rPr>
        <w:t>2006</w:t>
      </w:r>
      <w:r>
        <w:rPr>
          <w:rFonts w:hint="eastAsia"/>
          <w:lang w:bidi="en-US"/>
        </w:rPr>
        <w:t>年</w:t>
      </w:r>
      <w:r>
        <w:rPr>
          <w:lang w:bidi="en-US"/>
        </w:rPr>
        <w:t>1</w:t>
      </w:r>
      <w:r>
        <w:rPr>
          <w:rFonts w:hint="eastAsia"/>
          <w:lang w:bidi="en-US"/>
        </w:rPr>
        <w:t>月</w:t>
      </w:r>
      <w:r>
        <w:rPr>
          <w:lang w:bidi="en-US"/>
        </w:rPr>
        <w:t>12</w:t>
      </w:r>
      <w:r>
        <w:rPr>
          <w:rFonts w:hint="eastAsia"/>
          <w:lang w:bidi="en-US"/>
        </w:rPr>
        <w:t>日基本建成。水库控制流域面积</w:t>
      </w:r>
      <w:r>
        <w:rPr>
          <w:lang w:bidi="en-US"/>
        </w:rPr>
        <w:t>152 km</w:t>
      </w:r>
      <w:r>
        <w:rPr>
          <w:vertAlign w:val="superscript"/>
          <w:lang w:bidi="en-US"/>
        </w:rPr>
        <w:t>2</w:t>
      </w:r>
      <w:r>
        <w:rPr>
          <w:rFonts w:hint="eastAsia"/>
          <w:lang w:bidi="en-US"/>
        </w:rPr>
        <w:t>，总库容</w:t>
      </w:r>
      <w:r>
        <w:rPr>
          <w:lang w:bidi="en-US"/>
        </w:rPr>
        <w:t>0.14</w:t>
      </w:r>
      <w:r>
        <w:rPr>
          <w:rFonts w:hint="eastAsia"/>
          <w:lang w:bidi="en-US"/>
        </w:rPr>
        <w:t>亿</w:t>
      </w:r>
      <w:r>
        <w:rPr>
          <w:lang w:bidi="en-US"/>
        </w:rPr>
        <w:t>m</w:t>
      </w:r>
      <w:r>
        <w:rPr>
          <w:vertAlign w:val="superscript"/>
          <w:lang w:bidi="en-US"/>
        </w:rPr>
        <w:t>3</w:t>
      </w:r>
      <w:r>
        <w:rPr>
          <w:rFonts w:hint="eastAsia"/>
          <w:lang w:bidi="en-US"/>
        </w:rPr>
        <w:t>，核定后期扶持人口75户264人。</w:t>
      </w:r>
    </w:p>
    <w:p>
      <w:pPr>
        <w:pStyle w:val="54"/>
        <w:ind w:firstLine="560"/>
      </w:pPr>
      <w:r>
        <w:rPr>
          <w:rFonts w:hint="eastAsia"/>
        </w:rPr>
        <w:t>（7）坛罐窑水库</w:t>
      </w:r>
    </w:p>
    <w:p>
      <w:pPr>
        <w:pStyle w:val="43"/>
        <w:ind w:firstLine="560"/>
        <w:rPr>
          <w:lang w:bidi="en-US"/>
        </w:rPr>
      </w:pPr>
      <w:r>
        <w:rPr>
          <w:rFonts w:hint="eastAsia"/>
          <w:lang w:bidi="en-US"/>
        </w:rPr>
        <w:t>坛罐窑水库位于大姚县赵家店乡境内，龙街河中游的支流黑什里河坛罐窑村。水库控制流域面积</w:t>
      </w:r>
      <w:r>
        <w:rPr>
          <w:lang w:bidi="en-US"/>
        </w:rPr>
        <w:t>77.7km</w:t>
      </w:r>
      <w:r>
        <w:rPr>
          <w:vertAlign w:val="superscript"/>
          <w:lang w:bidi="en-US"/>
        </w:rPr>
        <w:t>2</w:t>
      </w:r>
      <w:r>
        <w:rPr>
          <w:rFonts w:hint="eastAsia"/>
          <w:lang w:bidi="en-US"/>
        </w:rPr>
        <w:t>，总库容</w:t>
      </w:r>
      <w:r>
        <w:rPr>
          <w:lang w:bidi="en-US"/>
        </w:rPr>
        <w:t>0.14</w:t>
      </w:r>
      <w:r>
        <w:rPr>
          <w:rFonts w:hint="eastAsia"/>
          <w:lang w:bidi="en-US"/>
        </w:rPr>
        <w:t>亿</w:t>
      </w:r>
      <w:r>
        <w:rPr>
          <w:lang w:bidi="en-US"/>
        </w:rPr>
        <w:t>m</w:t>
      </w:r>
      <w:r>
        <w:rPr>
          <w:vertAlign w:val="superscript"/>
          <w:lang w:bidi="en-US"/>
        </w:rPr>
        <w:t>3</w:t>
      </w:r>
      <w:r>
        <w:rPr>
          <w:rFonts w:hint="eastAsia"/>
          <w:lang w:bidi="en-US"/>
        </w:rPr>
        <w:t>，最大坝高</w:t>
      </w:r>
      <w:r>
        <w:rPr>
          <w:lang w:bidi="en-US"/>
        </w:rPr>
        <w:t>42.5m</w:t>
      </w:r>
      <w:r>
        <w:rPr>
          <w:rFonts w:hint="eastAsia"/>
          <w:lang w:bidi="en-US"/>
        </w:rPr>
        <w:t>。下闸蓄水投入运行后，年供水量</w:t>
      </w:r>
      <w:r>
        <w:rPr>
          <w:lang w:bidi="en-US"/>
        </w:rPr>
        <w:t>846.32</w:t>
      </w:r>
      <w:r>
        <w:rPr>
          <w:rFonts w:hint="eastAsia"/>
          <w:lang w:bidi="en-US"/>
        </w:rPr>
        <w:t>万</w:t>
      </w:r>
      <w:r>
        <w:rPr>
          <w:lang w:bidi="en-US"/>
        </w:rPr>
        <w:t>m</w:t>
      </w:r>
      <w:r>
        <w:rPr>
          <w:vertAlign w:val="superscript"/>
          <w:lang w:bidi="en-US"/>
        </w:rPr>
        <w:t>3</w:t>
      </w:r>
      <w:r>
        <w:rPr>
          <w:rFonts w:hint="eastAsia"/>
          <w:lang w:bidi="en-US"/>
        </w:rPr>
        <w:t>，属中型水库，异地（元谋县平田乡新康村委会凤来村）集中安置</w:t>
      </w:r>
      <w:r>
        <w:rPr>
          <w:lang w:bidi="en-US"/>
        </w:rPr>
        <w:t>39户159人；分散后靠安置18户78人；货币安置1户2人</w:t>
      </w:r>
      <w:r>
        <w:rPr>
          <w:rFonts w:hint="eastAsia"/>
          <w:lang w:bidi="en-US"/>
        </w:rPr>
        <w:t>，</w:t>
      </w:r>
      <w:r>
        <w:rPr>
          <w:lang w:bidi="en-US"/>
        </w:rPr>
        <w:t>核定</w:t>
      </w:r>
      <w:r>
        <w:rPr>
          <w:rFonts w:hint="eastAsia"/>
          <w:lang w:bidi="en-US"/>
        </w:rPr>
        <w:t>后期</w:t>
      </w:r>
      <w:r>
        <w:rPr>
          <w:lang w:bidi="en-US"/>
        </w:rPr>
        <w:t>扶持人口</w:t>
      </w:r>
      <w:r>
        <w:rPr>
          <w:rFonts w:hint="eastAsia"/>
          <w:lang w:bidi="en-US"/>
        </w:rPr>
        <w:t>39户</w:t>
      </w:r>
      <w:r>
        <w:rPr>
          <w:lang w:bidi="en-US"/>
        </w:rPr>
        <w:t>159人</w:t>
      </w:r>
      <w:r>
        <w:rPr>
          <w:rFonts w:hint="eastAsia"/>
          <w:lang w:bidi="en-US"/>
        </w:rPr>
        <w:t>。</w:t>
      </w:r>
    </w:p>
    <w:p>
      <w:pPr>
        <w:pStyle w:val="41"/>
      </w:pPr>
      <w:r>
        <w:t>1.1.2</w:t>
      </w:r>
      <w:r>
        <w:rPr>
          <w:rFonts w:hint="eastAsia"/>
        </w:rPr>
        <w:t>　在建大中型水利水电工程</w:t>
      </w:r>
    </w:p>
    <w:p>
      <w:pPr>
        <w:pStyle w:val="43"/>
        <w:ind w:firstLine="560"/>
        <w:rPr>
          <w:rFonts w:eastAsia="方正小标宋_GBK"/>
        </w:rPr>
      </w:pPr>
      <w:r>
        <w:rPr>
          <w:rFonts w:hint="eastAsia"/>
          <w:lang w:bidi="en-US"/>
        </w:rPr>
        <w:t>根据大中型水利水电工程建设情况，元谋县无在建大中型水利水电工程。</w:t>
      </w:r>
    </w:p>
    <w:p>
      <w:pPr>
        <w:pStyle w:val="41"/>
      </w:pPr>
      <w:r>
        <w:t>1.1.3</w:t>
      </w:r>
      <w:r>
        <w:rPr>
          <w:rFonts w:hint="eastAsia"/>
        </w:rPr>
        <w:t>　拟建大中型水利水电工程</w:t>
      </w:r>
    </w:p>
    <w:p>
      <w:pPr>
        <w:pStyle w:val="43"/>
        <w:ind w:firstLine="560"/>
        <w:rPr>
          <w:lang w:bidi="en-US"/>
        </w:rPr>
      </w:pPr>
      <w:r>
        <w:rPr>
          <w:rFonts w:hint="eastAsia"/>
          <w:lang w:bidi="en-US"/>
        </w:rPr>
        <w:t>根据元谋县“十四五”期间大中型水利水电工程规划情况，拟建的大中型水利水电工程有2座，为小石门水库、定远河水库。</w:t>
      </w:r>
    </w:p>
    <w:p>
      <w:pPr>
        <w:pStyle w:val="54"/>
        <w:ind w:firstLine="560"/>
      </w:pPr>
      <w:r>
        <w:rPr>
          <w:rFonts w:hint="eastAsia"/>
        </w:rPr>
        <w:t>（1）小石门水库</w:t>
      </w:r>
    </w:p>
    <w:p>
      <w:pPr>
        <w:pStyle w:val="43"/>
        <w:ind w:firstLine="560"/>
      </w:pPr>
      <w:r>
        <w:rPr>
          <w:rFonts w:hint="eastAsia"/>
        </w:rPr>
        <w:t>小石门水库坝址位于楚雄州牟定县与大姚县交界的勐岗河中游，坝址高程</w:t>
      </w:r>
      <w:r>
        <w:t>1514.00m</w:t>
      </w:r>
      <w:r>
        <w:rPr>
          <w:rFonts w:hint="eastAsia"/>
        </w:rPr>
        <w:t>，根据目前确定的规模，小石门水库正常蓄水位</w:t>
      </w:r>
      <w:r>
        <w:t>1675.00m</w:t>
      </w:r>
      <w:r>
        <w:rPr>
          <w:rFonts w:hint="eastAsia"/>
        </w:rPr>
        <w:t>，兴利库容</w:t>
      </w:r>
      <w:r>
        <w:t>9424</w:t>
      </w:r>
      <w:r>
        <w:rPr>
          <w:rFonts w:hint="eastAsia"/>
        </w:rPr>
        <w:t>万</w:t>
      </w:r>
      <w:r>
        <w:t>m</w:t>
      </w:r>
      <w:r>
        <w:rPr>
          <w:vertAlign w:val="superscript"/>
        </w:rPr>
        <w:t>3</w:t>
      </w:r>
      <w:r>
        <w:rPr>
          <w:rFonts w:hint="eastAsia"/>
        </w:rPr>
        <w:t>，校核水位</w:t>
      </w:r>
      <w:r>
        <w:t>1678.25m</w:t>
      </w:r>
      <w:r>
        <w:rPr>
          <w:rFonts w:hint="eastAsia"/>
        </w:rPr>
        <w:t>，总库容</w:t>
      </w:r>
      <w:r>
        <w:t>11554.5</w:t>
      </w:r>
      <w:r>
        <w:rPr>
          <w:rFonts w:hint="eastAsia"/>
        </w:rPr>
        <w:t>万</w:t>
      </w:r>
      <w:r>
        <w:t>m</w:t>
      </w:r>
      <w:r>
        <w:rPr>
          <w:vertAlign w:val="superscript"/>
        </w:rPr>
        <w:t>3</w:t>
      </w:r>
      <w:r>
        <w:rPr>
          <w:rFonts w:hint="eastAsia"/>
        </w:rPr>
        <w:t>，水库多年平均灌溉供水量</w:t>
      </w:r>
      <w:r>
        <w:t>6559</w:t>
      </w:r>
      <w:r>
        <w:rPr>
          <w:rFonts w:hint="eastAsia"/>
        </w:rPr>
        <w:t>万</w:t>
      </w:r>
      <w:r>
        <w:t>m</w:t>
      </w:r>
      <w:r>
        <w:rPr>
          <w:vertAlign w:val="superscript"/>
        </w:rPr>
        <w:t>3</w:t>
      </w:r>
      <w:r>
        <w:rPr>
          <w:rFonts w:hint="eastAsia"/>
        </w:rPr>
        <w:t>，推荐坝型为混凝土面板堆石坝，坝顶高程</w:t>
      </w:r>
      <w:r>
        <w:t>1679.30m</w:t>
      </w:r>
      <w:r>
        <w:rPr>
          <w:rFonts w:hint="eastAsia"/>
        </w:rPr>
        <w:t>，最大坝高</w:t>
      </w:r>
      <w:r>
        <w:t>165.3m</w:t>
      </w:r>
      <w:r>
        <w:rPr>
          <w:rFonts w:hint="eastAsia"/>
        </w:rPr>
        <w:t>，坝长</w:t>
      </w:r>
      <w:r>
        <w:t>460m</w:t>
      </w:r>
      <w:r>
        <w:rPr>
          <w:rFonts w:hint="eastAsia"/>
        </w:rPr>
        <w:t>，是一座以农业灌溉为主要工程任务，兼有下游防洪任务的大（</w:t>
      </w:r>
      <w:r>
        <w:t>2</w:t>
      </w:r>
      <w:r>
        <w:rPr>
          <w:rFonts w:hint="eastAsia"/>
        </w:rPr>
        <w:t>）型水库。主要解决下游元谋县西片平田乡、物茂乡热区土地开发缺水问题，也兼顾大姚县、牟定县的灌溉供水，灌溉面积</w:t>
      </w:r>
      <w:r>
        <w:t>21.638</w:t>
      </w:r>
      <w:r>
        <w:rPr>
          <w:rFonts w:hint="eastAsia"/>
        </w:rPr>
        <w:t>万亩。</w:t>
      </w:r>
    </w:p>
    <w:p>
      <w:pPr>
        <w:pStyle w:val="43"/>
        <w:ind w:firstLine="560"/>
      </w:pPr>
      <w:r>
        <w:rPr>
          <w:rFonts w:hint="eastAsia"/>
        </w:rPr>
        <w:t>以实物调查年份</w:t>
      </w:r>
      <w:r>
        <w:t>2020</w:t>
      </w:r>
      <w:r>
        <w:rPr>
          <w:rFonts w:hint="eastAsia"/>
        </w:rPr>
        <w:t>年作为基准年，枢纽区水平年</w:t>
      </w:r>
      <w:r>
        <w:t>2021</w:t>
      </w:r>
      <w:r>
        <w:rPr>
          <w:rFonts w:hint="eastAsia"/>
        </w:rPr>
        <w:t>年，管道区水平年为</w:t>
      </w:r>
      <w:r>
        <w:t>2024</w:t>
      </w:r>
      <w:r>
        <w:rPr>
          <w:rFonts w:hint="eastAsia"/>
        </w:rPr>
        <w:t>年，水库淹没影响区水平年为</w:t>
      </w:r>
      <w:r>
        <w:t>2027</w:t>
      </w:r>
      <w:r>
        <w:rPr>
          <w:rFonts w:hint="eastAsia"/>
        </w:rPr>
        <w:t>年。小石门水库无搬迁人口；规划水平年生产安置人口</w:t>
      </w:r>
      <w:r>
        <w:t>180</w:t>
      </w:r>
      <w:r>
        <w:rPr>
          <w:rFonts w:hint="eastAsia"/>
        </w:rPr>
        <w:t>人，其中水库淹没影响区</w:t>
      </w:r>
      <w:r>
        <w:t>145</w:t>
      </w:r>
      <w:r>
        <w:rPr>
          <w:rFonts w:hint="eastAsia"/>
        </w:rPr>
        <w:t>人，枢纽区</w:t>
      </w:r>
      <w:r>
        <w:t>17</w:t>
      </w:r>
      <w:r>
        <w:rPr>
          <w:rFonts w:hint="eastAsia"/>
        </w:rPr>
        <w:t>人，管道区</w:t>
      </w:r>
      <w:r>
        <w:t>18</w:t>
      </w:r>
      <w:r>
        <w:rPr>
          <w:rFonts w:hint="eastAsia"/>
        </w:rPr>
        <w:t>人。生产安置移民通过货币直接补偿进行安置。</w:t>
      </w:r>
    </w:p>
    <w:p>
      <w:pPr>
        <w:pStyle w:val="54"/>
        <w:ind w:firstLine="560"/>
      </w:pPr>
      <w:r>
        <w:rPr>
          <w:rFonts w:hint="eastAsia"/>
        </w:rPr>
        <w:t>（2）定远河水库</w:t>
      </w:r>
    </w:p>
    <w:p>
      <w:pPr>
        <w:pStyle w:val="43"/>
        <w:ind w:firstLine="560"/>
        <w:rPr>
          <w:lang w:bidi="en-US"/>
        </w:rPr>
      </w:pPr>
      <w:r>
        <w:rPr>
          <w:rFonts w:hint="eastAsia"/>
          <w:lang w:bidi="en-US"/>
        </w:rPr>
        <w:t>定远河水库位于牟定县</w:t>
      </w:r>
      <w:r>
        <w:rPr>
          <w:rStyle w:val="42"/>
          <w:rFonts w:hint="eastAsia"/>
        </w:rPr>
        <w:t>江</w:t>
      </w:r>
      <w:r>
        <w:rPr>
          <w:rFonts w:hint="eastAsia"/>
          <w:lang w:bidi="en-US"/>
        </w:rPr>
        <w:t>坡镇柜山村委会梨园村下游</w:t>
      </w:r>
      <w:r>
        <w:rPr>
          <w:lang w:bidi="en-US"/>
        </w:rPr>
        <w:t>0.7km处的龙川江支流龙川河上。水库坝址以上控制径流面积402.1km²</w:t>
      </w:r>
      <w:r>
        <w:rPr>
          <w:rFonts w:hint="eastAsia"/>
          <w:lang w:bidi="en-US"/>
        </w:rPr>
        <w:t>，</w:t>
      </w:r>
      <w:r>
        <w:rPr>
          <w:lang w:bidi="en-US"/>
        </w:rPr>
        <w:t>水库径流区、库区、坝址枢纽属于牟定县江坡镇，灌区为元谋县东部。定远河水库的开发任务是承担元谋东部灌区4.90万亩新开发耕地的灌溉供水任务。</w:t>
      </w:r>
    </w:p>
    <w:p>
      <w:pPr>
        <w:pStyle w:val="43"/>
        <w:ind w:firstLine="560"/>
        <w:rPr>
          <w:lang w:bidi="en-US"/>
        </w:rPr>
      </w:pPr>
      <w:r>
        <w:rPr>
          <w:rFonts w:hint="eastAsia"/>
          <w:lang w:bidi="en-US"/>
        </w:rPr>
        <w:t>定远河水库设计最大坝高</w:t>
      </w:r>
      <w:r>
        <w:rPr>
          <w:lang w:bidi="en-US"/>
        </w:rPr>
        <w:t>63.1m</w:t>
      </w:r>
      <w:r>
        <w:rPr>
          <w:rFonts w:hint="eastAsia"/>
          <w:lang w:bidi="en-US"/>
        </w:rPr>
        <w:t>，</w:t>
      </w:r>
      <w:r>
        <w:rPr>
          <w:lang w:bidi="en-US"/>
        </w:rPr>
        <w:t>正常蓄水位为1669.53m</w:t>
      </w:r>
      <w:r>
        <w:rPr>
          <w:rFonts w:hint="eastAsia"/>
          <w:lang w:bidi="en-US"/>
        </w:rPr>
        <w:t>，</w:t>
      </w:r>
      <w:r>
        <w:rPr>
          <w:lang w:bidi="en-US"/>
        </w:rPr>
        <w:t>兴利调节库容905.6万m</w:t>
      </w:r>
      <w:r>
        <w:rPr>
          <w:vertAlign w:val="superscript"/>
          <w:lang w:bidi="en-US"/>
        </w:rPr>
        <w:t>3</w:t>
      </w:r>
      <w:r>
        <w:rPr>
          <w:rFonts w:hint="eastAsia"/>
          <w:lang w:bidi="en-US"/>
        </w:rPr>
        <w:t>，</w:t>
      </w:r>
      <w:r>
        <w:rPr>
          <w:lang w:bidi="en-US"/>
        </w:rPr>
        <w:t>总库容1744.2万m</w:t>
      </w:r>
      <w:r>
        <w:rPr>
          <w:vertAlign w:val="superscript"/>
          <w:lang w:bidi="en-US"/>
        </w:rPr>
        <w:t>3</w:t>
      </w:r>
      <w:r>
        <w:rPr>
          <w:lang w:bidi="en-US"/>
        </w:rPr>
        <w:t>，工程规模属中型，工程等别为</w:t>
      </w:r>
      <w:r>
        <w:rPr>
          <w:rFonts w:hint="eastAsia" w:ascii="宋体" w:hAnsi="宋体" w:eastAsia="宋体" w:cs="宋体"/>
          <w:lang w:bidi="en-US"/>
        </w:rPr>
        <w:t>Ⅲ</w:t>
      </w:r>
      <w:r>
        <w:rPr>
          <w:lang w:bidi="en-US"/>
        </w:rPr>
        <w:t>等。水库枢纽建筑物由大坝、溢洪道、导流泄洪隧洞和输水隧洞组成。</w:t>
      </w:r>
    </w:p>
    <w:p>
      <w:pPr>
        <w:pStyle w:val="43"/>
        <w:ind w:firstLine="560"/>
        <w:rPr>
          <w:lang w:bidi="en-US"/>
        </w:rPr>
      </w:pPr>
      <w:r>
        <w:rPr>
          <w:rFonts w:hint="eastAsia"/>
          <w:lang w:bidi="en-US"/>
        </w:rPr>
        <w:t>根据现有设计资料，定远河水库工程</w:t>
      </w:r>
      <w:r>
        <w:rPr>
          <w:lang w:bidi="en-US"/>
        </w:rPr>
        <w:t>在元谋县境内不涉及移民搬迁安置及生产安置人口</w:t>
      </w:r>
      <w:r>
        <w:rPr>
          <w:rFonts w:hint="eastAsia"/>
          <w:lang w:bidi="en-US"/>
        </w:rPr>
        <w:t>。</w:t>
      </w:r>
    </w:p>
    <w:p>
      <w:pPr>
        <w:pStyle w:val="3"/>
        <w:rPr>
          <w:rFonts w:hAnsi="Times New Roman" w:cs="Times New Roman"/>
          <w:szCs w:val="36"/>
        </w:rPr>
      </w:pPr>
      <w:bookmarkStart w:id="4" w:name="_Toc86914795"/>
      <w:r>
        <w:rPr>
          <w:rFonts w:hAnsi="Times New Roman" w:cs="Times New Roman"/>
          <w:szCs w:val="36"/>
        </w:rPr>
        <w:t>1.2</w:t>
      </w:r>
      <w:r>
        <w:rPr>
          <w:rFonts w:hint="eastAsia" w:hAnsi="Times New Roman" w:cs="Times New Roman"/>
          <w:szCs w:val="36"/>
        </w:rPr>
        <w:t>　搬迁安置</w:t>
      </w:r>
      <w:r>
        <w:rPr>
          <w:rFonts w:hAnsi="Times New Roman" w:cs="Times New Roman"/>
          <w:szCs w:val="36"/>
        </w:rPr>
        <w:t>“</w:t>
      </w:r>
      <w:r>
        <w:rPr>
          <w:rFonts w:hint="eastAsia" w:hAnsi="Times New Roman" w:cs="Times New Roman"/>
          <w:szCs w:val="36"/>
        </w:rPr>
        <w:t>十三五</w:t>
      </w:r>
      <w:r>
        <w:rPr>
          <w:rFonts w:hAnsi="Times New Roman" w:cs="Times New Roman"/>
          <w:szCs w:val="36"/>
        </w:rPr>
        <w:t>”</w:t>
      </w:r>
      <w:r>
        <w:rPr>
          <w:rFonts w:hint="eastAsia" w:hAnsi="Times New Roman" w:cs="Times New Roman"/>
          <w:szCs w:val="36"/>
        </w:rPr>
        <w:t>实施情况</w:t>
      </w:r>
      <w:bookmarkEnd w:id="4"/>
    </w:p>
    <w:p>
      <w:pPr>
        <w:pStyle w:val="41"/>
      </w:pPr>
      <w:r>
        <w:t>1.2.1</w:t>
      </w:r>
      <w:r>
        <w:rPr>
          <w:rFonts w:hint="eastAsia"/>
        </w:rPr>
        <w:t>　搬迁安置工作情况</w:t>
      </w:r>
    </w:p>
    <w:p>
      <w:pPr>
        <w:pStyle w:val="43"/>
        <w:ind w:firstLine="560"/>
        <w:rPr>
          <w:lang w:bidi="en-US"/>
        </w:rPr>
      </w:pPr>
      <w:r>
        <w:rPr>
          <w:rFonts w:hint="eastAsia"/>
          <w:lang w:bidi="en-US"/>
        </w:rPr>
        <w:t>“十三五”期间，元谋县移民搬迁安置工作主要涉及小石门水库及定远河水库工程建设征地移民安置前期工作。</w:t>
      </w:r>
    </w:p>
    <w:p>
      <w:pPr>
        <w:pStyle w:val="5"/>
      </w:pPr>
      <w:r>
        <w:t>1.2.1.1</w:t>
      </w:r>
      <w:r>
        <w:rPr>
          <w:rFonts w:hint="eastAsia"/>
        </w:rPr>
        <w:t>　移民搬迁安置前期工作</w:t>
      </w:r>
    </w:p>
    <w:p>
      <w:pPr>
        <w:pStyle w:val="54"/>
        <w:ind w:firstLine="560"/>
      </w:pPr>
      <w:r>
        <w:rPr>
          <w:rFonts w:hint="eastAsia"/>
        </w:rPr>
        <w:t>（1）小石门水库</w:t>
      </w:r>
    </w:p>
    <w:p>
      <w:pPr>
        <w:pStyle w:val="43"/>
        <w:ind w:firstLine="560"/>
      </w:pPr>
      <w:r>
        <w:rPr>
          <w:rFonts w:hint="eastAsia"/>
        </w:rPr>
        <w:t>2019年12月正式向水利部报送了《楚雄州小石门水库工程可行性研究报告》审查申请。2020年3月，省人民政府以云政</w:t>
      </w:r>
      <w:r>
        <w:rPr>
          <w:rFonts w:hint="eastAsia"/>
          <w:kern w:val="0"/>
          <w:szCs w:val="24"/>
          <w:lang w:bidi="en-US"/>
        </w:rPr>
        <w:t>〔</w:t>
      </w:r>
      <w:r>
        <w:rPr>
          <w:kern w:val="0"/>
          <w:szCs w:val="24"/>
          <w:lang w:bidi="en-US"/>
        </w:rPr>
        <w:t>2010</w:t>
      </w:r>
      <w:r>
        <w:rPr>
          <w:rFonts w:hint="eastAsia"/>
          <w:kern w:val="0"/>
          <w:szCs w:val="24"/>
          <w:lang w:bidi="en-US"/>
        </w:rPr>
        <w:t>〕16号发布了小石门水库等工程“停建令”。地方配合设计单位完成了实物指标调查、公示、复核及行政确认，并对实物调查成果及移民安置方案出具确认函。</w:t>
      </w:r>
      <w:r>
        <w:t>2020年</w:t>
      </w:r>
      <w:r>
        <w:rPr>
          <w:rFonts w:hint="eastAsia"/>
        </w:rPr>
        <w:t>10月</w:t>
      </w:r>
      <w:r>
        <w:t>，水利水电规划设计总院组织开展了《小石门水库移民安置规划大纲》的审查</w:t>
      </w:r>
      <w:r>
        <w:rPr>
          <w:rFonts w:hint="eastAsia"/>
        </w:rPr>
        <w:t>，</w:t>
      </w:r>
      <w:r>
        <w:t>预计</w:t>
      </w:r>
      <w:r>
        <w:rPr>
          <w:rFonts w:hint="eastAsia"/>
        </w:rPr>
        <w:t>2021年5月前完成可研报告批复，2021年6月可开工建设</w:t>
      </w:r>
      <w:r>
        <w:t>。</w:t>
      </w:r>
    </w:p>
    <w:p>
      <w:pPr>
        <w:pStyle w:val="54"/>
        <w:ind w:firstLine="560"/>
      </w:pPr>
      <w:r>
        <w:rPr>
          <w:rFonts w:hint="eastAsia"/>
        </w:rPr>
        <w:t>（2）定远河水库</w:t>
      </w:r>
    </w:p>
    <w:p>
      <w:pPr>
        <w:pStyle w:val="43"/>
        <w:ind w:firstLine="560"/>
      </w:pPr>
      <w:r>
        <w:t>水库已列入</w:t>
      </w:r>
      <w:r>
        <w:rPr>
          <w:rFonts w:hint="eastAsia"/>
        </w:rPr>
        <w:t>《楚雄北部片区水资源综合利用规划》（楚政复</w:t>
      </w:r>
      <w:r>
        <w:rPr>
          <w:rFonts w:hint="eastAsia"/>
          <w:kern w:val="0"/>
          <w:szCs w:val="24"/>
          <w:lang w:bidi="en-US"/>
        </w:rPr>
        <w:t>〔</w:t>
      </w:r>
      <w:r>
        <w:rPr>
          <w:kern w:val="0"/>
          <w:szCs w:val="24"/>
          <w:lang w:bidi="en-US"/>
        </w:rPr>
        <w:t>2010</w:t>
      </w:r>
      <w:r>
        <w:rPr>
          <w:rFonts w:hint="eastAsia"/>
          <w:kern w:val="0"/>
          <w:szCs w:val="24"/>
          <w:lang w:bidi="en-US"/>
        </w:rPr>
        <w:t>〕108号</w:t>
      </w:r>
      <w:r>
        <w:rPr>
          <w:rFonts w:hint="eastAsia"/>
        </w:rPr>
        <w:t>），计划近期重新编制《可研报告》</w:t>
      </w:r>
      <w:r>
        <w:t>。</w:t>
      </w:r>
    </w:p>
    <w:p>
      <w:pPr>
        <w:pStyle w:val="5"/>
      </w:pPr>
      <w:r>
        <w:t>1.2.1.2</w:t>
      </w:r>
      <w:r>
        <w:rPr>
          <w:rFonts w:hint="eastAsia"/>
        </w:rPr>
        <w:t>　移民搬迁安置工作实施情况</w:t>
      </w:r>
    </w:p>
    <w:p>
      <w:pPr>
        <w:pStyle w:val="43"/>
        <w:ind w:firstLine="560"/>
      </w:pPr>
      <w:r>
        <w:rPr>
          <w:rFonts w:hint="eastAsia"/>
        </w:rPr>
        <w:t>“十三五”期间，元谋县完成乌东德水电站搬迁安置移民10885人，其中江边集镇搬迁安置3939人，元马镇瓦渣箐安置点搬迁安置4178人，元马镇甘塘安置点搬迁安置2568人，分散后靠安置8人，自行安置192人；完成江边集镇、瓦渣箐、甘塘3个移民安置点点内外基础设施工程建设、移民房屋建设及搬迁入住，移民土地配置工作正在抓紧完成。</w:t>
      </w:r>
    </w:p>
    <w:p>
      <w:pPr>
        <w:pStyle w:val="43"/>
        <w:ind w:firstLine="560"/>
      </w:pPr>
      <w:r>
        <w:rPr>
          <w:rFonts w:hint="eastAsia"/>
        </w:rPr>
        <w:t>根据元谋县乌东德水电站移民安置情况，移民搬迁安置主要采取集中安置方式，集中安置比例达到98.2%，主要涉及江边集镇安置点、瓦渣箐安置点和甘塘安置点。</w:t>
      </w:r>
    </w:p>
    <w:p>
      <w:pPr>
        <w:pStyle w:val="54"/>
        <w:ind w:firstLine="560"/>
      </w:pPr>
      <w:r>
        <w:rPr>
          <w:rFonts w:hint="eastAsia"/>
        </w:rPr>
        <w:t>（1）江边集镇安置点</w:t>
      </w:r>
    </w:p>
    <w:p>
      <w:pPr>
        <w:pStyle w:val="43"/>
        <w:ind w:firstLine="560"/>
        <w:rPr>
          <w:snapToGrid w:val="0"/>
          <w:kern w:val="28"/>
        </w:rPr>
      </w:pPr>
      <w:r>
        <w:rPr>
          <w:rFonts w:hint="eastAsia"/>
        </w:rPr>
        <w:t>基本情况。江边集镇安置点新址位于启宪自然村一带，北起那旧，南至渔洗村，集镇用地地面积约53.09h</w:t>
      </w:r>
      <w:r>
        <w:t>m</w:t>
      </w:r>
      <w:r>
        <w:rPr>
          <w:vertAlign w:val="superscript"/>
        </w:rPr>
        <w:t>2</w:t>
      </w:r>
      <w:r>
        <w:rPr>
          <w:rFonts w:hint="eastAsia"/>
        </w:rPr>
        <w:t>。</w:t>
      </w:r>
      <w:r>
        <w:rPr>
          <w:rFonts w:hint="eastAsia"/>
          <w:snapToGrid w:val="0"/>
          <w:kern w:val="28"/>
        </w:rPr>
        <w:t>集镇新址紧邻黄江公路，交通较为便利。集镇人口规模4653人，</w:t>
      </w:r>
      <w:r>
        <w:rPr>
          <w:rFonts w:hint="eastAsia" w:cs="Times New Roman"/>
          <w:color w:val="000000"/>
        </w:rPr>
        <w:t>规划搬迁安置3648人。江边集镇移民2020年已搬迁入住，根据元谋县最新统计情况，江边集镇安置点2020年底搬迁安置3939人。</w:t>
      </w:r>
    </w:p>
    <w:p>
      <w:pPr>
        <w:pStyle w:val="43"/>
        <w:ind w:firstLine="560"/>
      </w:pPr>
      <w:r>
        <w:rPr>
          <w:rFonts w:hint="eastAsia"/>
        </w:rPr>
        <w:t>宅基地及道路。安置点内移民宅基地标准按20m</w:t>
      </w:r>
      <w:r>
        <w:rPr>
          <w:vertAlign w:val="superscript"/>
        </w:rPr>
        <w:t>2</w:t>
      </w:r>
      <w:r>
        <w:rPr>
          <w:rFonts w:hint="eastAsia"/>
        </w:rPr>
        <w:t>/人，每户不超过100m</w:t>
      </w:r>
      <w:r>
        <w:rPr>
          <w:vertAlign w:val="superscript"/>
        </w:rPr>
        <w:t>2</w:t>
      </w:r>
      <w:r>
        <w:rPr>
          <w:rFonts w:hint="eastAsia"/>
        </w:rPr>
        <w:t>控制；安置点紧邻红色旅游路，出行便利；点内内道路分干路、支路及巷路3级设置，道路总长约20.14km，干路红线宽20m、支路红线宽10m、巷路车行道宽3.5m，路面均采用混凝土硬化。</w:t>
      </w:r>
    </w:p>
    <w:p>
      <w:pPr>
        <w:pStyle w:val="43"/>
        <w:ind w:firstLine="560"/>
      </w:pPr>
      <w:r>
        <w:rPr>
          <w:rFonts w:hint="eastAsia"/>
        </w:rPr>
        <w:t>给排水。江边集镇安置点居民生活用水为元谋县自来水厂（挨小河水库水源），供水规模按最高日居民生活用水定额130L/人</w:t>
      </w:r>
      <w:r>
        <w:rPr>
          <w:rFonts w:hint="eastAsia" w:ascii="宋体" w:hAnsi="宋体" w:eastAsia="宋体" w:cs="宋体"/>
        </w:rPr>
        <w:t>•</w:t>
      </w:r>
      <w:r>
        <w:rPr>
          <w:rFonts w:hint="eastAsia"/>
        </w:rPr>
        <w:t>d确定。居民点内已建成自来水供水系统，自来水实现户户通，居民生活用水水质、水量等均得到有效保障。排水体制采用生活污水和雨水分流制，场地雨水经排水沟收集后排至场地冲沟，污水排入场地北侧污水处理站集中处理。</w:t>
      </w:r>
    </w:p>
    <w:p>
      <w:pPr>
        <w:pStyle w:val="43"/>
        <w:ind w:firstLine="560"/>
      </w:pPr>
      <w:r>
        <w:rPr>
          <w:rFonts w:hint="eastAsia"/>
        </w:rPr>
        <w:t>电力电信及广电建设。安置点内主街道电力电信及广电线路入地埋设，居民户电力电信及广电均已实现户户通，并满足新农村建设的标准。</w:t>
      </w:r>
    </w:p>
    <w:p>
      <w:pPr>
        <w:pStyle w:val="43"/>
        <w:ind w:firstLine="560"/>
      </w:pPr>
      <w:r>
        <w:rPr>
          <w:rFonts w:hint="eastAsia"/>
        </w:rPr>
        <w:t>公共服务设施配置及建设。安置点规划村委会、文化室、卫生室合建，规划总建筑面积5150</w:t>
      </w:r>
      <w:r>
        <w:t>m</w:t>
      </w:r>
      <w:r>
        <w:rPr>
          <w:vertAlign w:val="superscript"/>
        </w:rPr>
        <w:t>2</w:t>
      </w:r>
      <w:r>
        <w:rPr>
          <w:rFonts w:hint="eastAsia"/>
        </w:rPr>
        <w:t>，预留农贸市场及幼儿园建设用地3148</w:t>
      </w:r>
      <w:r>
        <w:t>m</w:t>
      </w:r>
      <w:r>
        <w:rPr>
          <w:vertAlign w:val="superscript"/>
        </w:rPr>
        <w:t>2</w:t>
      </w:r>
      <w:r>
        <w:rPr>
          <w:rFonts w:hint="eastAsia"/>
        </w:rPr>
        <w:t>。安置点居民子女按规划到江边小学、江边中学等学校入学，江边小学紧邻江边集镇安置点；江边中学为复建学校，在安置点内。</w:t>
      </w:r>
    </w:p>
    <w:p>
      <w:pPr>
        <w:pStyle w:val="43"/>
        <w:ind w:firstLine="560"/>
      </w:pPr>
      <w:r>
        <w:rPr>
          <w:rFonts w:hint="eastAsia"/>
        </w:rPr>
        <w:t>环卫设施配置。安置点规划建设9座公共厕所270m</w:t>
      </w:r>
      <w:r>
        <w:rPr>
          <w:rFonts w:hint="eastAsia"/>
          <w:vertAlign w:val="superscript"/>
        </w:rPr>
        <w:t>2</w:t>
      </w:r>
      <w:r>
        <w:rPr>
          <w:rFonts w:hint="eastAsia"/>
        </w:rPr>
        <w:t>，并配置垃圾桶125个，垃圾收集点14个，配置转运站1座，配置2辆7t垃圾转运车，垃圾运到新建的启宪垃圾填埋场。，保障点内环境卫生整洁。</w:t>
      </w:r>
    </w:p>
    <w:p>
      <w:pPr>
        <w:pStyle w:val="43"/>
        <w:ind w:firstLine="560"/>
      </w:pPr>
      <w:r>
        <w:rPr>
          <w:rFonts w:hint="eastAsia"/>
        </w:rPr>
        <w:t>生产用地及生产用房用地配置。江边集镇安置点规划生产安置移民3085人，人均配置耕园地1亩，另0.5亩耕园地逐年补偿。生产用地3085亩；为满足乌东德水电站移民生产需要，生产安置移民按每人10 m</w:t>
      </w:r>
      <w:r>
        <w:rPr>
          <w:rFonts w:hint="eastAsia"/>
          <w:vertAlign w:val="superscript"/>
        </w:rPr>
        <w:t>2</w:t>
      </w:r>
      <w:r>
        <w:rPr>
          <w:rFonts w:hint="eastAsia"/>
        </w:rPr>
        <w:t>标准配置了生产用房用地，总配地3085 m</w:t>
      </w:r>
      <w:r>
        <w:rPr>
          <w:rFonts w:hint="eastAsia"/>
          <w:vertAlign w:val="superscript"/>
        </w:rPr>
        <w:t>2</w:t>
      </w:r>
      <w:r>
        <w:rPr>
          <w:rFonts w:hint="eastAsia"/>
        </w:rPr>
        <w:t>。</w:t>
      </w:r>
    </w:p>
    <w:p>
      <w:pPr>
        <w:pStyle w:val="54"/>
        <w:ind w:firstLine="560"/>
      </w:pPr>
      <w:r>
        <w:rPr>
          <w:rFonts w:hint="eastAsia"/>
        </w:rPr>
        <w:t>（2）</w:t>
      </w:r>
      <w:r>
        <w:t>瓦渣箐安置点</w:t>
      </w:r>
    </w:p>
    <w:p>
      <w:pPr>
        <w:pStyle w:val="43"/>
        <w:ind w:firstLine="544"/>
        <w:rPr>
          <w:spacing w:val="-4"/>
        </w:rPr>
      </w:pPr>
      <w:r>
        <w:rPr>
          <w:rFonts w:hint="eastAsia"/>
          <w:spacing w:val="-4"/>
        </w:rPr>
        <w:t>基本情况。瓦渣箐移民安置点位于元谋县城东南侧云南省农科院热区生态农业研究所至元谋和创绿色蔬菜产销合作社小那乌基地沿线，居民点距离县城</w:t>
      </w:r>
      <w:r>
        <w:rPr>
          <w:spacing w:val="-4"/>
        </w:rPr>
        <w:t>1</w:t>
      </w:r>
      <w:r>
        <w:rPr>
          <w:rFonts w:hint="eastAsia"/>
          <w:spacing w:val="-4"/>
        </w:rPr>
        <w:t>～</w:t>
      </w:r>
      <w:r>
        <w:rPr>
          <w:spacing w:val="-4"/>
        </w:rPr>
        <w:t>3km</w:t>
      </w:r>
      <w:r>
        <w:rPr>
          <w:rFonts w:hint="eastAsia"/>
          <w:spacing w:val="-4"/>
        </w:rPr>
        <w:t>。居民点人口规模3734人，用地总面积35.88hm</w:t>
      </w:r>
      <w:r>
        <w:rPr>
          <w:rFonts w:hint="eastAsia"/>
          <w:spacing w:val="-4"/>
          <w:vertAlign w:val="superscript"/>
        </w:rPr>
        <w:t>2</w:t>
      </w:r>
      <w:r>
        <w:rPr>
          <w:rFonts w:hint="eastAsia"/>
          <w:spacing w:val="-4"/>
        </w:rPr>
        <w:t>。居民点已于2020年基本建成，根据元谋县统计数据，2020年底已搬迁入住移民4178人。</w:t>
      </w:r>
    </w:p>
    <w:p>
      <w:pPr>
        <w:pStyle w:val="43"/>
        <w:ind w:firstLine="560"/>
      </w:pPr>
      <w:r>
        <w:rPr>
          <w:rFonts w:hint="eastAsia"/>
        </w:rPr>
        <w:t>宅基地及交通。点内移民宅基地标准按30m</w:t>
      </w:r>
      <w:r>
        <w:rPr>
          <w:rFonts w:hint="eastAsia"/>
          <w:vertAlign w:val="superscript"/>
        </w:rPr>
        <w:t>2</w:t>
      </w:r>
      <w:r>
        <w:rPr>
          <w:rFonts w:hint="eastAsia"/>
        </w:rPr>
        <w:t>/人，每户不超过150m2控制；点外道路按山区四级公路标准建设，双车道路基宽度</w:t>
      </w:r>
      <w:r>
        <w:t>6.5m</w:t>
      </w:r>
      <w:r>
        <w:rPr>
          <w:rFonts w:hint="eastAsia"/>
        </w:rPr>
        <w:t>，路面宽度</w:t>
      </w:r>
      <w:r>
        <w:t>6.0m</w:t>
      </w:r>
      <w:r>
        <w:rPr>
          <w:rFonts w:hint="eastAsia"/>
        </w:rPr>
        <w:t>，一共由两条路线组成，总长</w:t>
      </w:r>
      <w:r>
        <w:t>4.406km</w:t>
      </w:r>
      <w:r>
        <w:rPr>
          <w:rFonts w:hint="eastAsia"/>
        </w:rPr>
        <w:t>，分别连接安置点规划道路、108国道，混凝土路面；点内道路采用干路、支路、巷路三级路网系统，道路总长约12.95km，干路红线宽度为</w:t>
      </w:r>
      <w:r>
        <w:t>16m</w:t>
      </w:r>
      <w:r>
        <w:rPr>
          <w:rFonts w:hint="eastAsia"/>
        </w:rPr>
        <w:t>（其中车行道</w:t>
      </w:r>
      <w:r>
        <w:t>10m</w:t>
      </w:r>
      <w:r>
        <w:rPr>
          <w:rFonts w:hint="eastAsia"/>
        </w:rPr>
        <w:t>，两侧人行道各</w:t>
      </w:r>
      <w:r>
        <w:t>3m</w:t>
      </w:r>
      <w:r>
        <w:rPr>
          <w:rFonts w:hint="eastAsia"/>
        </w:rPr>
        <w:t>），支路红线宽度</w:t>
      </w:r>
      <w:r>
        <w:t>10m</w:t>
      </w:r>
      <w:r>
        <w:rPr>
          <w:rFonts w:hint="eastAsia"/>
        </w:rPr>
        <w:t>（其中车行道</w:t>
      </w:r>
      <w:r>
        <w:t>6m</w:t>
      </w:r>
      <w:r>
        <w:rPr>
          <w:rFonts w:hint="eastAsia"/>
        </w:rPr>
        <w:t>，两侧各</w:t>
      </w:r>
      <w:r>
        <w:t>2m</w:t>
      </w:r>
      <w:r>
        <w:rPr>
          <w:rFonts w:hint="eastAsia"/>
        </w:rPr>
        <w:t>人行道），巷路车行道宽度为</w:t>
      </w:r>
      <w:r>
        <w:t>3.5m</w:t>
      </w:r>
      <w:r>
        <w:rPr>
          <w:rFonts w:hint="eastAsia"/>
        </w:rPr>
        <w:t>，不设人行道，路面均采用混凝土硬化。</w:t>
      </w:r>
    </w:p>
    <w:p>
      <w:pPr>
        <w:pStyle w:val="43"/>
        <w:ind w:firstLine="560"/>
      </w:pPr>
      <w:r>
        <w:rPr>
          <w:rFonts w:hint="eastAsia"/>
        </w:rPr>
        <w:t>给排水。瓦渣箐安置点居民生活用水为元谋县自来水厂（挨小河水库水源），供水规模按最高日居民生活用水定额130L/人</w:t>
      </w:r>
      <w:r>
        <w:rPr>
          <w:rFonts w:hint="eastAsia" w:ascii="宋体" w:hAnsi="宋体" w:eastAsia="宋体" w:cs="宋体"/>
        </w:rPr>
        <w:t>•</w:t>
      </w:r>
      <w:r>
        <w:rPr>
          <w:rFonts w:hint="eastAsia"/>
        </w:rPr>
        <w:t>d确定。居民点内已建成自来水供水系统，自来水实现户户通，居民生活用水水质、水量等均得到有效保障。点排水体制采用分流制，雨水通过点内排水系统排至场地现状冲沟；生活污水通过集中化粪池处理后，集中输送居民点外的</w:t>
      </w:r>
      <w:r>
        <w:t>3</w:t>
      </w:r>
      <w:r>
        <w:rPr>
          <w:rFonts w:hint="eastAsia"/>
        </w:rPr>
        <w:t>个污水处理站集中处理。</w:t>
      </w:r>
    </w:p>
    <w:p>
      <w:pPr>
        <w:pStyle w:val="43"/>
        <w:ind w:firstLine="560"/>
      </w:pPr>
      <w:r>
        <w:rPr>
          <w:rFonts w:hint="eastAsia"/>
        </w:rPr>
        <w:t>电力电信及广电建设。点内主街道电力电信及广电线路入地埋设，居民户电力电信及广电均已实现户户通，并满足新农村建设的标准。</w:t>
      </w:r>
    </w:p>
    <w:p>
      <w:pPr>
        <w:pStyle w:val="43"/>
        <w:ind w:firstLine="560"/>
      </w:pPr>
      <w:r>
        <w:rPr>
          <w:rFonts w:hint="eastAsia"/>
        </w:rPr>
        <w:t>公共服务设施配置及建设。点规划村委会、文化室、卫生室合建，规划总建筑面积5012m</w:t>
      </w:r>
      <w:r>
        <w:rPr>
          <w:rFonts w:hint="eastAsia"/>
          <w:vertAlign w:val="superscript"/>
        </w:rPr>
        <w:t>2</w:t>
      </w:r>
      <w:r>
        <w:rPr>
          <w:rFonts w:hint="eastAsia"/>
        </w:rPr>
        <w:t>；规划甘塘居民点与瓦渣箐居民点合建一处小学，建筑面积3432 m</w:t>
      </w:r>
      <w:r>
        <w:rPr>
          <w:rFonts w:hint="eastAsia"/>
          <w:vertAlign w:val="superscript"/>
        </w:rPr>
        <w:t>2</w:t>
      </w:r>
      <w:r>
        <w:rPr>
          <w:rFonts w:hint="eastAsia"/>
        </w:rPr>
        <w:t>；点内预留了农贸市场及幼儿园建设用地1871m</w:t>
      </w:r>
      <w:r>
        <w:rPr>
          <w:rFonts w:hint="eastAsia"/>
          <w:vertAlign w:val="superscript"/>
        </w:rPr>
        <w:t>2</w:t>
      </w:r>
      <w:r>
        <w:rPr>
          <w:rFonts w:hint="eastAsia"/>
        </w:rPr>
        <w:t>。</w:t>
      </w:r>
    </w:p>
    <w:p>
      <w:pPr>
        <w:pStyle w:val="43"/>
        <w:ind w:firstLine="560"/>
        <w:rPr>
          <w:rFonts w:ascii="Times New Roman" w:hAnsi="Times New Roman"/>
        </w:rPr>
      </w:pPr>
      <w:r>
        <w:rPr>
          <w:rFonts w:hint="eastAsia" w:ascii="Times New Roman" w:hAnsi="Times New Roman"/>
        </w:rPr>
        <w:t>环卫设施配置。点规划建设4座公共厕所120m</w:t>
      </w:r>
      <w:r>
        <w:rPr>
          <w:rFonts w:hint="eastAsia" w:ascii="Times New Roman" w:hAnsi="Times New Roman"/>
          <w:vertAlign w:val="superscript"/>
        </w:rPr>
        <w:t>2</w:t>
      </w:r>
      <w:r>
        <w:rPr>
          <w:rFonts w:hint="eastAsia" w:ascii="Times New Roman" w:hAnsi="Times New Roman"/>
        </w:rPr>
        <w:t>，并配置了垃圾收集点、移动式垃圾收集箱等设施，保障点内环境卫生整洁。</w:t>
      </w:r>
    </w:p>
    <w:p>
      <w:pPr>
        <w:pStyle w:val="43"/>
        <w:ind w:firstLine="560"/>
      </w:pPr>
      <w:r>
        <w:rPr>
          <w:rFonts w:hint="eastAsia"/>
        </w:rPr>
        <w:t>生产用地及生产用房用地配置。安置点规划生产安置移民，人均配置耕园地1亩，另0.5亩耕园地采取逐年补偿。生产用地紧邻居民点周边，目前已开发整理得到耕园地约4000亩；为满足乌东德水电站移民生产需要，生产安置移民按每人10 m</w:t>
      </w:r>
      <w:r>
        <w:rPr>
          <w:rFonts w:hint="eastAsia"/>
          <w:vertAlign w:val="superscript"/>
        </w:rPr>
        <w:t>2</w:t>
      </w:r>
      <w:r>
        <w:rPr>
          <w:rFonts w:hint="eastAsia"/>
        </w:rPr>
        <w:t>标准配置了生产用房用地。</w:t>
      </w:r>
    </w:p>
    <w:p>
      <w:pPr>
        <w:pStyle w:val="43"/>
        <w:ind w:firstLine="560"/>
      </w:pPr>
      <w:r>
        <w:rPr>
          <w:rFonts w:hint="eastAsia"/>
        </w:rPr>
        <w:t>特殊用地配置。为保障移民墓葬及柴山需要，居民点每人配置特殊用地0.1亩。</w:t>
      </w:r>
    </w:p>
    <w:p>
      <w:pPr>
        <w:pStyle w:val="54"/>
        <w:ind w:firstLine="560"/>
      </w:pPr>
      <w:r>
        <w:rPr>
          <w:rFonts w:hint="eastAsia"/>
        </w:rPr>
        <w:t>（3）甘塘安置点</w:t>
      </w:r>
    </w:p>
    <w:p>
      <w:pPr>
        <w:pStyle w:val="43"/>
        <w:ind w:firstLine="560"/>
      </w:pPr>
      <w:r>
        <w:rPr>
          <w:rFonts w:hint="eastAsia"/>
        </w:rPr>
        <w:t>基本情况。甘塘居民点位于元谋县城南侧</w:t>
      </w:r>
      <w:r>
        <w:t>3</w:t>
      </w:r>
      <w:r>
        <w:rPr>
          <w:rFonts w:hint="eastAsia"/>
        </w:rPr>
        <w:t>～</w:t>
      </w:r>
      <w:r>
        <w:t>5km</w:t>
      </w:r>
      <w:r>
        <w:rPr>
          <w:rFonts w:hint="eastAsia"/>
        </w:rPr>
        <w:t>处老城乡甘塘村一带。居民点人口规模2473人，用地总面积24.65hm</w:t>
      </w:r>
      <w:r>
        <w:rPr>
          <w:rFonts w:hint="eastAsia"/>
          <w:vertAlign w:val="superscript"/>
        </w:rPr>
        <w:t>2</w:t>
      </w:r>
      <w:r>
        <w:rPr>
          <w:rFonts w:hint="eastAsia"/>
        </w:rPr>
        <w:t>。居民点已于2020年基本建成。</w:t>
      </w:r>
    </w:p>
    <w:p>
      <w:pPr>
        <w:pStyle w:val="43"/>
        <w:ind w:firstLine="560"/>
      </w:pPr>
      <w:r>
        <w:rPr>
          <w:rFonts w:hint="eastAsia"/>
        </w:rPr>
        <w:t>宅基地及交通。安置点内移民宅基地标准按30m</w:t>
      </w:r>
      <w:r>
        <w:rPr>
          <w:rFonts w:hint="eastAsia"/>
          <w:vertAlign w:val="superscript"/>
        </w:rPr>
        <w:t>2</w:t>
      </w:r>
      <w:r>
        <w:rPr>
          <w:rFonts w:hint="eastAsia"/>
        </w:rPr>
        <w:t>/人，每户不超过150m2控制；点外建成6.17km双车道连接市政道路及</w:t>
      </w:r>
      <w:r>
        <w:t>G108</w:t>
      </w:r>
      <w:r>
        <w:rPr>
          <w:rFonts w:hint="eastAsia"/>
        </w:rPr>
        <w:t>，混凝土路面，路基宽度6.5m；点内道路采用干路、支路、巷路三级路网系统，道路总长约1.08km，点内干路红线宽度为</w:t>
      </w:r>
      <w:r>
        <w:t>16m</w:t>
      </w:r>
      <w:r>
        <w:rPr>
          <w:rFonts w:hint="eastAsia"/>
        </w:rPr>
        <w:t>（其中车行道</w:t>
      </w:r>
      <w:r>
        <w:t>10m</w:t>
      </w:r>
      <w:r>
        <w:rPr>
          <w:rFonts w:hint="eastAsia"/>
        </w:rPr>
        <w:t>，两侧人行道各</w:t>
      </w:r>
      <w:r>
        <w:t>2m</w:t>
      </w:r>
      <w:r>
        <w:rPr>
          <w:rFonts w:hint="eastAsia"/>
        </w:rPr>
        <w:t>），点内支路红线宽度为</w:t>
      </w:r>
      <w:r>
        <w:t>10m</w:t>
      </w:r>
      <w:r>
        <w:rPr>
          <w:rFonts w:hint="eastAsia"/>
        </w:rPr>
        <w:t>（其中车行道</w:t>
      </w:r>
      <w:r>
        <w:t>6m</w:t>
      </w:r>
      <w:r>
        <w:rPr>
          <w:rFonts w:hint="eastAsia"/>
        </w:rPr>
        <w:t>，两侧人行道各</w:t>
      </w:r>
      <w:r>
        <w:t>2m</w:t>
      </w:r>
      <w:r>
        <w:rPr>
          <w:rFonts w:hint="eastAsia"/>
        </w:rPr>
        <w:t>），巷路车行道宽度为</w:t>
      </w:r>
      <w:r>
        <w:t>3.5m</w:t>
      </w:r>
      <w:r>
        <w:rPr>
          <w:rFonts w:hint="eastAsia"/>
        </w:rPr>
        <w:t>，不设人行道，路面均采用混凝土硬化。</w:t>
      </w:r>
    </w:p>
    <w:p>
      <w:pPr>
        <w:pStyle w:val="43"/>
        <w:ind w:firstLine="560"/>
      </w:pPr>
      <w:r>
        <w:rPr>
          <w:rFonts w:hint="eastAsia"/>
        </w:rPr>
        <w:t>给排水。甘塘安置点居民生活用水为元谋县自来水厂（挨小河水库水源），供水规模按最高日居民生活用水定额130L/人</w:t>
      </w:r>
      <w:r>
        <w:rPr>
          <w:rFonts w:hint="eastAsia" w:ascii="宋体" w:hAnsi="宋体" w:eastAsia="宋体" w:cs="宋体"/>
        </w:rPr>
        <w:t>•</w:t>
      </w:r>
      <w:r>
        <w:rPr>
          <w:rFonts w:hint="eastAsia"/>
        </w:rPr>
        <w:t>d确定。居民点内已建成自来水供水系统，自来水实现户户通，居民生活用水水质、水量等均得到有效保障。点排水体制采用分流制，场地雨水经排水沟收集后排至场地南侧现状冲沟；生活污水通过集中化粪池处理后，分别收集污水至</w:t>
      </w:r>
      <w:r>
        <w:t>3</w:t>
      </w:r>
      <w:r>
        <w:rPr>
          <w:rFonts w:hint="eastAsia"/>
        </w:rPr>
        <w:t>处污水处理站集中处理。</w:t>
      </w:r>
    </w:p>
    <w:p>
      <w:pPr>
        <w:pStyle w:val="43"/>
        <w:ind w:firstLine="560"/>
      </w:pPr>
      <w:r>
        <w:rPr>
          <w:rFonts w:hint="eastAsia"/>
        </w:rPr>
        <w:t>电力电信及广电建设。点内主街道电力电信及广电线路架空敷设，居民户电力电信及广电均已实现户户通，并满足新农村建设的标准。</w:t>
      </w:r>
    </w:p>
    <w:p>
      <w:pPr>
        <w:pStyle w:val="43"/>
        <w:ind w:firstLine="560"/>
      </w:pPr>
      <w:r>
        <w:rPr>
          <w:rFonts w:hint="eastAsia"/>
        </w:rPr>
        <w:t>公共服务设施配置及建设。点规划村委会、文化室、卫生室合建，规划总建筑面积1391m</w:t>
      </w:r>
      <w:r>
        <w:rPr>
          <w:rFonts w:hint="eastAsia"/>
          <w:vertAlign w:val="superscript"/>
        </w:rPr>
        <w:t>2</w:t>
      </w:r>
      <w:r>
        <w:rPr>
          <w:rFonts w:hint="eastAsia"/>
        </w:rPr>
        <w:t>，规划甘塘居民点与瓦渣箐居民点合建一处小学，建筑面积3432m</w:t>
      </w:r>
      <w:r>
        <w:rPr>
          <w:rFonts w:hint="eastAsia"/>
          <w:vertAlign w:val="superscript"/>
        </w:rPr>
        <w:t>2</w:t>
      </w:r>
      <w:r>
        <w:rPr>
          <w:rFonts w:hint="eastAsia"/>
        </w:rPr>
        <w:t>；点内预留了农贸市场及幼儿园建设用地1871m</w:t>
      </w:r>
      <w:r>
        <w:rPr>
          <w:rFonts w:hint="eastAsia"/>
          <w:vertAlign w:val="superscript"/>
        </w:rPr>
        <w:t>2</w:t>
      </w:r>
      <w:r>
        <w:rPr>
          <w:rFonts w:hint="eastAsia"/>
        </w:rPr>
        <w:t>。</w:t>
      </w:r>
    </w:p>
    <w:p>
      <w:pPr>
        <w:pStyle w:val="43"/>
        <w:ind w:firstLine="560"/>
      </w:pPr>
      <w:r>
        <w:rPr>
          <w:rFonts w:hint="eastAsia"/>
        </w:rPr>
        <w:t>环卫设施配置。点规划建设4座公共厕所120m</w:t>
      </w:r>
      <w:r>
        <w:rPr>
          <w:rFonts w:hint="eastAsia"/>
          <w:vertAlign w:val="superscript"/>
        </w:rPr>
        <w:t>2</w:t>
      </w:r>
      <w:r>
        <w:rPr>
          <w:rFonts w:hint="eastAsia"/>
        </w:rPr>
        <w:t>，并配置了垃圾收集点、移动式垃圾收集箱等设施，保障点内环境卫生整洁。</w:t>
      </w:r>
    </w:p>
    <w:p>
      <w:pPr>
        <w:pStyle w:val="43"/>
        <w:ind w:firstLine="560"/>
      </w:pPr>
      <w:r>
        <w:rPr>
          <w:rFonts w:hint="eastAsia"/>
        </w:rPr>
        <w:t>生产用地及生产用房用地配置。安置点规划生产安置移民，人均配置耕园地1亩，另1亩耕园地采取逐年补偿。生产用地紧紧环绕居民点；为满足乌东德水电站移民生产需要，生产安置移民按每人10</w:t>
      </w:r>
      <w:r>
        <w:rPr>
          <w:rFonts w:hint="eastAsia" w:ascii="宋体" w:hAnsi="宋体" w:eastAsia="宋体" w:cs="宋体"/>
        </w:rPr>
        <w:t>㎡</w:t>
      </w:r>
      <w:r>
        <w:rPr>
          <w:rFonts w:hint="eastAsia"/>
        </w:rPr>
        <w:t>标准配置了生产用房用地。</w:t>
      </w:r>
    </w:p>
    <w:p>
      <w:pPr>
        <w:pStyle w:val="43"/>
        <w:ind w:firstLine="560"/>
        <w:rPr>
          <w:rFonts w:eastAsia="黑体"/>
          <w:kern w:val="44"/>
          <w:sz w:val="36"/>
          <w:szCs w:val="36"/>
        </w:rPr>
      </w:pPr>
      <w:r>
        <w:rPr>
          <w:rFonts w:hint="eastAsia"/>
        </w:rPr>
        <w:t>特殊用地配置。为保障移民墓葬及柴山需要，点居民每人配置特殊用地0.1亩。</w:t>
      </w:r>
    </w:p>
    <w:p>
      <w:pPr>
        <w:pStyle w:val="5"/>
      </w:pPr>
      <w:r>
        <w:t>1.2.1.3</w:t>
      </w:r>
      <w:r>
        <w:rPr>
          <w:rFonts w:hint="eastAsia"/>
        </w:rPr>
        <w:t>　搬迁安置监督管理工作实施情况</w:t>
      </w:r>
    </w:p>
    <w:p>
      <w:pPr>
        <w:pStyle w:val="43"/>
        <w:ind w:firstLine="560"/>
      </w:pPr>
      <w:r>
        <w:t>元谋县人民政府高度重视移民搬迁安置工作</w:t>
      </w:r>
      <w:r>
        <w:rPr>
          <w:rFonts w:hint="eastAsia"/>
        </w:rPr>
        <w:t>。“十三五”期间，元谋县严格按照相关法律法规健全完善搬迁安置监督管理工作，采用行政监管、监测评估、移民参与协商和监督的方法保证搬迁安置监督管理工作的顺利实施，健全责任追究制度。</w:t>
      </w:r>
    </w:p>
    <w:p>
      <w:pPr>
        <w:pStyle w:val="5"/>
      </w:pPr>
      <w:r>
        <w:t>1.2.1.4</w:t>
      </w:r>
      <w:r>
        <w:rPr>
          <w:rFonts w:hint="eastAsia"/>
        </w:rPr>
        <w:t>　库区和移民安置区社会稳定情况</w:t>
      </w:r>
    </w:p>
    <w:p>
      <w:pPr>
        <w:pStyle w:val="43"/>
        <w:ind w:firstLine="560"/>
      </w:pPr>
      <w:r>
        <w:rPr>
          <w:rFonts w:hint="eastAsia"/>
        </w:rPr>
        <w:t>元谋县推行“</w:t>
      </w:r>
      <w:r>
        <w:t>4+2”</w:t>
      </w:r>
      <w:r>
        <w:rPr>
          <w:rFonts w:hint="eastAsia"/>
        </w:rPr>
        <w:t>矛盾纠纷化解工作机制，三项举措抓实水电移民信访工作。一是强化平台建设。在村民小组设立矛盾纠纷调解工作站、乡镇设立矛盾纠纷及信访问题调解工作中心、县司法局设立大调解中心，县信访局人民调解参与信访工作调解工作室、县人民法院建立诉调对接中心，全面抓好</w:t>
      </w:r>
      <w:r>
        <w:t>“4+2”</w:t>
      </w:r>
      <w:r>
        <w:rPr>
          <w:rFonts w:hint="eastAsia"/>
        </w:rPr>
        <w:t>矛盾纠纷化解工作机制的落细落实。二是畅通信访渠道。引导移民依法依规表达合理诉求，通过挂包单位进村入户走访和县级领导接访下访收集移民信访诉求，全面畅通信访诉求渠推，及时梳理移民群众集中反映强烈的信访问题，及时协调对接三峡移民局，最大限度争取移民利益，真正为移民群众排忧解难。三是压实维稳责任。村民小组、村委会（社区）、乡镇、县大调解中心和县级各职能部门</w:t>
      </w:r>
      <w:r>
        <w:t>4</w:t>
      </w:r>
      <w:r>
        <w:rPr>
          <w:rFonts w:hint="eastAsia"/>
        </w:rPr>
        <w:t>级受理加</w:t>
      </w:r>
      <w:r>
        <w:t>2</w:t>
      </w:r>
      <w:r>
        <w:rPr>
          <w:rFonts w:hint="eastAsia"/>
        </w:rPr>
        <w:t>次调解矛盾纠纷和信访问题，使基层大量的矛盾纠纷能够早发现、早介入、早控制、早化解，切实压紧压实基层维稳力量和工作责任。</w:t>
      </w:r>
    </w:p>
    <w:p>
      <w:pPr>
        <w:pStyle w:val="43"/>
        <w:ind w:firstLine="560"/>
      </w:pPr>
      <w:r>
        <w:rPr>
          <w:rFonts w:hint="eastAsia"/>
        </w:rPr>
        <w:t>自水电移民搬迁安置工作开展以来，元谋县各级各部门共接待移民群众来访</w:t>
      </w:r>
      <w:r>
        <w:t>2450</w:t>
      </w:r>
      <w:r>
        <w:rPr>
          <w:rFonts w:hint="eastAsia"/>
        </w:rPr>
        <w:t>批次，收到诉求</w:t>
      </w:r>
      <w:r>
        <w:t>13685</w:t>
      </w:r>
      <w:r>
        <w:rPr>
          <w:rFonts w:hint="eastAsia"/>
        </w:rPr>
        <w:t>件，通过推行</w:t>
      </w:r>
      <w:r>
        <w:t>“4+2”</w:t>
      </w:r>
      <w:r>
        <w:rPr>
          <w:rFonts w:hint="eastAsia"/>
        </w:rPr>
        <w:t>矛盾纠纷化解工作机制，及时化解越级上访隐患</w:t>
      </w:r>
      <w:r>
        <w:t>420</w:t>
      </w:r>
      <w:r>
        <w:rPr>
          <w:rFonts w:hint="eastAsia"/>
        </w:rPr>
        <w:t>余件，排查调处矛盾纠纷</w:t>
      </w:r>
      <w:r>
        <w:t>1358</w:t>
      </w:r>
      <w:r>
        <w:rPr>
          <w:rFonts w:hint="eastAsia"/>
        </w:rPr>
        <w:t>件，协调解决移民诉求</w:t>
      </w:r>
      <w:r>
        <w:t>1680</w:t>
      </w:r>
      <w:r>
        <w:rPr>
          <w:rFonts w:hint="eastAsia"/>
        </w:rPr>
        <w:t>个。</w:t>
      </w:r>
      <w:r>
        <w:t>2020</w:t>
      </w:r>
      <w:r>
        <w:rPr>
          <w:rFonts w:hint="eastAsia"/>
        </w:rPr>
        <w:t>年，元谋县金沙江龙街渡大桥通车，乌东德水电移民群众搬入新居，全面进入</w:t>
      </w:r>
      <w:r>
        <w:t>“</w:t>
      </w:r>
      <w:r>
        <w:rPr>
          <w:rFonts w:hint="eastAsia"/>
        </w:rPr>
        <w:t>搬得出、稳得住</w:t>
      </w:r>
      <w:r>
        <w:t>”</w:t>
      </w:r>
      <w:r>
        <w:rPr>
          <w:rFonts w:hint="eastAsia"/>
        </w:rPr>
        <w:t>阶段。截至目前，全县移民群众未发生大规模上访和群体性事件。</w:t>
      </w:r>
    </w:p>
    <w:p>
      <w:pPr>
        <w:pStyle w:val="5"/>
      </w:pPr>
      <w:r>
        <w:t>1.2.1.5</w:t>
      </w:r>
      <w:r>
        <w:rPr>
          <w:rFonts w:hint="eastAsia"/>
        </w:rPr>
        <w:t>　政策制度机制建设情况</w:t>
      </w:r>
    </w:p>
    <w:p>
      <w:pPr>
        <w:pStyle w:val="43"/>
        <w:ind w:firstLine="560"/>
      </w:pPr>
      <w:r>
        <w:rPr>
          <w:rFonts w:hint="eastAsia"/>
        </w:rPr>
        <w:t>元谋县大中型水库移民后期扶持工作，依托元谋县搬迁安置办公室，并由各部门有关专家为各类项目提供行业技术指导；涉及乡（镇）成立移民服务点或移民信访联络员，确保扶持政策宣传、人口核定登记及动态管理、直补资金发放以及扶持项目实施等顺利开展；村委成立农户自我组织管理的项目实施小组，形成从县到村的组织管理网络。随着移民后期扶持工作的深入开展，元谋县自上而下逐步建立了一套较完整的管理体系，各级管理部门配备了相应的工作人员，明确职责权限。</w:t>
      </w:r>
    </w:p>
    <w:p>
      <w:pPr>
        <w:pStyle w:val="41"/>
      </w:pPr>
      <w:r>
        <w:t>1.2.2</w:t>
      </w:r>
      <w:r>
        <w:rPr>
          <w:rFonts w:hint="eastAsia"/>
        </w:rPr>
        <w:t>　存在的主要问题</w:t>
      </w:r>
    </w:p>
    <w:p>
      <w:pPr>
        <w:pStyle w:val="5"/>
      </w:pPr>
      <w:r>
        <w:t>1.2.2.1</w:t>
      </w:r>
      <w:r>
        <w:rPr>
          <w:rFonts w:hint="eastAsia"/>
        </w:rPr>
        <w:t>　移民搬迁安置规划审批</w:t>
      </w:r>
    </w:p>
    <w:p>
      <w:pPr>
        <w:pStyle w:val="43"/>
        <w:ind w:firstLine="560"/>
      </w:pPr>
      <w:r>
        <w:rPr>
          <w:rFonts w:hint="eastAsia"/>
        </w:rPr>
        <w:t>元谋县“十三五”期间配合完成的前期规划审批项目为小石门水库和定远河水库两项，两项移民搬迁安置规划审批工作总体顺利，但其它水利项目仍存在移民安置前期规划工作进展缓慢，难以按工作计划推进的问题。</w:t>
      </w:r>
    </w:p>
    <w:p>
      <w:pPr>
        <w:pStyle w:val="5"/>
      </w:pPr>
      <w:r>
        <w:t>1.2.2.2</w:t>
      </w:r>
      <w:r>
        <w:rPr>
          <w:rFonts w:hint="eastAsia"/>
        </w:rPr>
        <w:t>　移民安置项目实施管理</w:t>
      </w:r>
    </w:p>
    <w:p>
      <w:pPr>
        <w:pStyle w:val="43"/>
        <w:ind w:firstLine="560"/>
      </w:pPr>
      <w:r>
        <w:rPr>
          <w:rFonts w:hint="eastAsia"/>
        </w:rPr>
        <w:t>结合前期水利工程移民安置项目实施管理情况，主要存在如下问题：</w:t>
      </w:r>
    </w:p>
    <w:p>
      <w:pPr>
        <w:pStyle w:val="43"/>
        <w:ind w:firstLine="560"/>
      </w:pPr>
      <w:r>
        <w:rPr>
          <w:rFonts w:hint="eastAsia"/>
        </w:rPr>
        <w:t>（</w:t>
      </w:r>
      <w:r>
        <w:t>1</w:t>
      </w:r>
      <w:r>
        <w:rPr>
          <w:rFonts w:hint="eastAsia"/>
        </w:rPr>
        <w:t>）缺乏长期从事工程项目实施管理的专业技术人员，对于工程项目动工前基本建设程序、土地和林地报批的前置条件，以及项目质量控制、进度控制、造价管理，缺乏相应工作经验。</w:t>
      </w:r>
    </w:p>
    <w:p>
      <w:pPr>
        <w:pStyle w:val="43"/>
        <w:ind w:firstLine="560"/>
      </w:pPr>
      <w:r>
        <w:rPr>
          <w:rFonts w:hint="eastAsia"/>
        </w:rPr>
        <w:t>（2）少部分项目由于项目审批、资金下放存在一定滞后，未严格按照年度计划或实施工期完成，实施完成项目审计工作及验收程序履行相对滞后，部分已竣工项目尚未办理验收、交付手续。</w:t>
      </w:r>
    </w:p>
    <w:p>
      <w:pPr>
        <w:pStyle w:val="43"/>
        <w:ind w:firstLine="560"/>
      </w:pPr>
      <w:r>
        <w:rPr>
          <w:rFonts w:hint="eastAsia"/>
        </w:rPr>
        <w:t>（</w:t>
      </w:r>
      <w:r>
        <w:t>3</w:t>
      </w:r>
      <w:r>
        <w:rPr>
          <w:rFonts w:hint="eastAsia"/>
        </w:rPr>
        <w:t>）移民安置实施过程中工作协调难，移民安置实施过程中，涉及自然资源局、林草局、交通局、住建局、供电局、水务局等部门，横向协调及纵向协调难度大，问题处理难以达成一致意见影响工作进度。</w:t>
      </w:r>
    </w:p>
    <w:p>
      <w:pPr>
        <w:pStyle w:val="5"/>
      </w:pPr>
      <w:r>
        <w:t>1.2.2.3</w:t>
      </w:r>
      <w:r>
        <w:rPr>
          <w:rFonts w:hint="eastAsia"/>
        </w:rPr>
        <w:t>　搬迁安置工作机制和队伍建设</w:t>
      </w:r>
    </w:p>
    <w:p>
      <w:pPr>
        <w:pStyle w:val="43"/>
        <w:ind w:firstLine="560"/>
        <w:rPr>
          <w:lang w:bidi="en-US"/>
        </w:rPr>
      </w:pPr>
      <w:r>
        <w:rPr>
          <w:rFonts w:hint="eastAsia"/>
          <w:lang w:bidi="en-US"/>
        </w:rPr>
        <w:t>元谋县搬迁安置办公室</w:t>
      </w:r>
      <w:r>
        <w:rPr>
          <w:lang w:bidi="en-US"/>
        </w:rPr>
        <w:t>内设</w:t>
      </w:r>
      <w:r>
        <w:rPr>
          <w:rFonts w:hint="eastAsia"/>
          <w:lang w:bidi="en-US"/>
        </w:rPr>
        <w:t>11个</w:t>
      </w:r>
      <w:r>
        <w:rPr>
          <w:lang w:bidi="en-US"/>
        </w:rPr>
        <w:t>机构</w:t>
      </w:r>
      <w:r>
        <w:rPr>
          <w:rFonts w:hint="eastAsia"/>
          <w:lang w:bidi="en-US"/>
        </w:rPr>
        <w:t>，</w:t>
      </w:r>
      <w:r>
        <w:rPr>
          <w:lang w:bidi="en-US"/>
        </w:rPr>
        <w:t>包括党委办</w:t>
      </w:r>
      <w:r>
        <w:rPr>
          <w:rFonts w:hint="eastAsia"/>
          <w:lang w:bidi="en-US"/>
        </w:rPr>
        <w:t>、</w:t>
      </w:r>
      <w:r>
        <w:rPr>
          <w:lang w:bidi="en-US"/>
        </w:rPr>
        <w:t>综合股</w:t>
      </w:r>
      <w:r>
        <w:rPr>
          <w:rFonts w:hint="eastAsia"/>
          <w:lang w:bidi="en-US"/>
        </w:rPr>
        <w:t>、</w:t>
      </w:r>
      <w:r>
        <w:rPr>
          <w:lang w:bidi="en-US"/>
        </w:rPr>
        <w:t>社会维稳及社会矛盾调处中心</w:t>
      </w:r>
      <w:r>
        <w:rPr>
          <w:rFonts w:hint="eastAsia"/>
          <w:lang w:bidi="en-US"/>
        </w:rPr>
        <w:t>、</w:t>
      </w:r>
      <w:r>
        <w:rPr>
          <w:lang w:bidi="en-US"/>
        </w:rPr>
        <w:t>政策法规股</w:t>
      </w:r>
      <w:r>
        <w:rPr>
          <w:rFonts w:hint="eastAsia"/>
          <w:lang w:bidi="en-US"/>
        </w:rPr>
        <w:t>、</w:t>
      </w:r>
      <w:r>
        <w:rPr>
          <w:lang w:bidi="en-US"/>
        </w:rPr>
        <w:t>财务股</w:t>
      </w:r>
      <w:r>
        <w:rPr>
          <w:rFonts w:hint="eastAsia"/>
          <w:lang w:bidi="en-US"/>
        </w:rPr>
        <w:t>、</w:t>
      </w:r>
      <w:r>
        <w:rPr>
          <w:lang w:bidi="en-US"/>
        </w:rPr>
        <w:t>规划股</w:t>
      </w:r>
      <w:r>
        <w:rPr>
          <w:rFonts w:hint="eastAsia"/>
          <w:lang w:bidi="en-US"/>
        </w:rPr>
        <w:t>、</w:t>
      </w:r>
      <w:r>
        <w:rPr>
          <w:lang w:bidi="en-US"/>
        </w:rPr>
        <w:t>档案管理股</w:t>
      </w:r>
      <w:r>
        <w:rPr>
          <w:rFonts w:hint="eastAsia"/>
          <w:lang w:bidi="en-US"/>
        </w:rPr>
        <w:t>、</w:t>
      </w:r>
      <w:r>
        <w:rPr>
          <w:lang w:bidi="en-US"/>
        </w:rPr>
        <w:t>后期扶持股</w:t>
      </w:r>
      <w:r>
        <w:rPr>
          <w:rFonts w:hint="eastAsia"/>
          <w:lang w:bidi="en-US"/>
        </w:rPr>
        <w:t>、</w:t>
      </w:r>
      <w:r>
        <w:rPr>
          <w:lang w:bidi="en-US"/>
        </w:rPr>
        <w:t>搬迁安置股</w:t>
      </w:r>
      <w:r>
        <w:rPr>
          <w:rFonts w:hint="eastAsia"/>
          <w:lang w:bidi="en-US"/>
        </w:rPr>
        <w:t>、</w:t>
      </w:r>
      <w:r>
        <w:rPr>
          <w:lang w:bidi="en-US"/>
        </w:rPr>
        <w:t>工程技术管理股</w:t>
      </w:r>
      <w:r>
        <w:rPr>
          <w:rFonts w:hint="eastAsia"/>
          <w:lang w:bidi="en-US"/>
        </w:rPr>
        <w:t>、</w:t>
      </w:r>
      <w:r>
        <w:rPr>
          <w:lang w:bidi="en-US"/>
        </w:rPr>
        <w:t>安全生产监督管理股</w:t>
      </w:r>
      <w:r>
        <w:rPr>
          <w:rFonts w:hint="eastAsia"/>
          <w:lang w:bidi="en-US"/>
        </w:rPr>
        <w:t>。</w:t>
      </w:r>
    </w:p>
    <w:p>
      <w:pPr>
        <w:pStyle w:val="43"/>
        <w:ind w:firstLine="560"/>
        <w:rPr>
          <w:lang w:bidi="en-US"/>
        </w:rPr>
      </w:pPr>
      <w:r>
        <w:rPr>
          <w:rFonts w:hint="eastAsia"/>
          <w:lang w:bidi="en-US"/>
        </w:rPr>
        <w:t>综合股负责各项目推进情况统计、上报工作；社会维稳及社会矛盾调处中心负责库区舆情研判工作；政策法规股负责组织实施移民重大问题法律法规的调研、移民政策法律法规宣传解答工作，组织指导好移民库区的平安创建工作；财务股负责后期扶持移民直补资金的审核兑付工作；规划股负责移民安置规划方案、年度计划编制，并组织相关部门对项目完成情况进行监督、检查工作；后期扶持股负责已建成的大中型水利水电工程和其他重点工程移民后期扶持工作，包括全县新建水利水电工程移民后期扶持人口的调查、登记和上报，移民后期扶持规划、基础设施建设和经济发展规划的编制、上报和规划实施管理和指导工作，全县移民后期扶持任务和资金年度计划的编制和统计工作，并组织开展对移民后期扶持政策执行情况的指导、检查和评估工作以及后期扶持相关问题的调研和处理；搬迁安置股负责宣传发动、组织指导乡镇开展移民搬迁安置工作，积极参与移民安置规划、后期扶持的研究，</w:t>
      </w:r>
      <w:r>
        <w:rPr>
          <w:lang w:bidi="en-US"/>
        </w:rPr>
        <w:t>组织实施移民安置工程的评估、验收，对安置的移民进行动态跟踪管理，检验安置效果</w:t>
      </w:r>
      <w:r>
        <w:rPr>
          <w:rFonts w:hint="eastAsia"/>
          <w:lang w:bidi="en-US"/>
        </w:rPr>
        <w:t>；安全生产监督管理股负责与水电移民搬迁安置各项工程建设、施工、监理等单位落实主体责任，强化安全质量管理情况监督检查工作。</w:t>
      </w:r>
    </w:p>
    <w:p>
      <w:pPr>
        <w:pStyle w:val="43"/>
        <w:ind w:firstLine="560"/>
        <w:rPr>
          <w:kern w:val="0"/>
          <w:lang w:bidi="en-US"/>
        </w:rPr>
      </w:pPr>
      <w:r>
        <w:rPr>
          <w:rFonts w:hint="eastAsia"/>
          <w:lang w:bidi="en-US"/>
        </w:rPr>
        <w:t>现存在的问题为县搬迁安置办公室现有专业技术人员</w:t>
      </w:r>
      <w:r>
        <w:rPr>
          <w:lang w:bidi="en-US"/>
        </w:rPr>
        <w:t>9人，事多人少，无法满足工作需要，应对中心工作的时间多，业务学习、培训时间少，外出机会少，眼界不开阔，思维狭窄。</w:t>
      </w:r>
      <w:bookmarkStart w:id="5" w:name="_Toc61767641"/>
      <w:r>
        <w:rPr>
          <w:kern w:val="0"/>
          <w:lang w:bidi="en-US"/>
        </w:rPr>
        <w:br w:type="page"/>
      </w:r>
    </w:p>
    <w:p>
      <w:pPr>
        <w:pStyle w:val="2"/>
        <w:rPr>
          <w:rFonts w:hAnsi="Times New Roman" w:cs="Times New Roman"/>
        </w:rPr>
      </w:pPr>
      <w:bookmarkStart w:id="6" w:name="_Toc86914796"/>
      <w:r>
        <w:rPr>
          <w:rFonts w:hAnsi="Times New Roman" w:cs="Times New Roman"/>
        </w:rPr>
        <w:t>2</w:t>
      </w:r>
      <w:r>
        <w:rPr>
          <w:rFonts w:hint="eastAsia" w:hAnsi="Times New Roman" w:cs="Times New Roman"/>
        </w:rPr>
        <w:t>　搬迁安置“十四五”面临的形势</w:t>
      </w:r>
      <w:bookmarkEnd w:id="5"/>
      <w:bookmarkEnd w:id="6"/>
    </w:p>
    <w:p>
      <w:pPr>
        <w:pStyle w:val="3"/>
        <w:rPr>
          <w:rFonts w:hAnsi="Times New Roman" w:cs="Times New Roman"/>
          <w:szCs w:val="36"/>
        </w:rPr>
      </w:pPr>
      <w:bookmarkStart w:id="7" w:name="_Toc86914797"/>
      <w:r>
        <w:rPr>
          <w:rFonts w:hAnsi="Times New Roman" w:cs="Times New Roman"/>
          <w:szCs w:val="36"/>
        </w:rPr>
        <w:t>2.1</w:t>
      </w:r>
      <w:r>
        <w:rPr>
          <w:rFonts w:hint="eastAsia" w:hAnsi="Times New Roman" w:cs="Times New Roman"/>
          <w:szCs w:val="36"/>
        </w:rPr>
        <w:t>　搬迁安置任务</w:t>
      </w:r>
      <w:bookmarkEnd w:id="7"/>
    </w:p>
    <w:p>
      <w:pPr>
        <w:pStyle w:val="43"/>
        <w:ind w:firstLine="560"/>
      </w:pPr>
      <w:r>
        <w:rPr>
          <w:rFonts w:hint="eastAsia"/>
        </w:rPr>
        <w:t>根据元谋县“十四五”期间大中型水利水电工程规划情况，拟建项目有2座，分别为小石门水库及定远河水库。</w:t>
      </w:r>
    </w:p>
    <w:p>
      <w:pPr>
        <w:pStyle w:val="43"/>
        <w:ind w:firstLine="560"/>
      </w:pPr>
      <w:r>
        <w:rPr>
          <w:rFonts w:hint="eastAsia"/>
        </w:rPr>
        <w:t>根据前期规划设计文件，“十四五”期间拟建的小石门水库不涉及搬迁安置人口，元谋县境内为线性工程，亦不计列生产安置人口。拟建的定远河水库不涉及元谋县境内的移民搬迁安置工作。</w:t>
      </w:r>
    </w:p>
    <w:p>
      <w:pPr>
        <w:pStyle w:val="3"/>
        <w:rPr>
          <w:rFonts w:hAnsi="Times New Roman" w:cs="Times New Roman"/>
          <w:szCs w:val="36"/>
        </w:rPr>
      </w:pPr>
      <w:bookmarkStart w:id="8" w:name="_Toc86914798"/>
      <w:r>
        <w:rPr>
          <w:rFonts w:hAnsi="Times New Roman" w:cs="Times New Roman"/>
          <w:szCs w:val="36"/>
        </w:rPr>
        <w:t>2.2</w:t>
      </w:r>
      <w:r>
        <w:rPr>
          <w:rFonts w:hint="eastAsia" w:hAnsi="Times New Roman" w:cs="Times New Roman"/>
          <w:szCs w:val="36"/>
        </w:rPr>
        <w:t>　搬迁安置存在的主要问题</w:t>
      </w:r>
      <w:bookmarkEnd w:id="8"/>
    </w:p>
    <w:p>
      <w:pPr>
        <w:pStyle w:val="43"/>
        <w:ind w:firstLine="560"/>
        <w:rPr>
          <w:lang w:bidi="en-US"/>
        </w:rPr>
      </w:pPr>
      <w:r>
        <w:rPr>
          <w:rFonts w:hint="eastAsia"/>
          <w:lang w:bidi="en-US"/>
        </w:rPr>
        <w:t>元谋县“十四五”搬迁安置规划存在的主要问题如下：</w:t>
      </w:r>
    </w:p>
    <w:p>
      <w:pPr>
        <w:pStyle w:val="43"/>
        <w:ind w:firstLine="560"/>
        <w:rPr>
          <w:lang w:bidi="en-US"/>
        </w:rPr>
      </w:pPr>
      <w:r>
        <w:rPr>
          <w:rFonts w:hint="eastAsia"/>
          <w:lang w:bidi="en-US"/>
        </w:rPr>
        <w:t>对于已建的乌东德水电站、丙间水库等，仍应重点加强库区和安置区维护稳定工作，做好后续可持续发展。目前县搬迁安置办对乌东德水电站的三个集中安置点正不断增大投入基础设施、公共服务设施等建设，加大针对性的移民技能培训、创业就业引导扶持，夯实发展基础，改善生存环境，壮大集体经济，增强发展后劲。但安置点的建设还处于发展前期阶段，对其产业扶持部分还需加大投入，保证其可持续性的发展。对于其余老水库移民的安置区，由于老水库移民居住较为分散，移民所在村组的基础设施建设相对较弱，移民维稳问题压力较大。元谋县搬迁安置办应制定符合元谋县情的处置应急预案，及时发现和妥善处理可能造成重大影响的信访事件和群体性事件，防止事态扩大。发现问题及时分析研究，妥善解决，切实为移民利益着想。</w:t>
      </w:r>
    </w:p>
    <w:p>
      <w:pPr>
        <w:pStyle w:val="43"/>
        <w:ind w:firstLine="560"/>
        <w:rPr>
          <w:lang w:bidi="en-US"/>
        </w:rPr>
      </w:pPr>
      <w:r>
        <w:rPr>
          <w:rFonts w:hint="eastAsia"/>
          <w:lang w:bidi="en-US"/>
        </w:rPr>
        <w:t>对于拟建的小石门水库和定远河水库，还需重点推进前期规划设计工作，与相关部门确定可研和初设的编制与批复等节点时间，加强与水利、交通、供电、国土等部门的沟通，保证前期工作稳步推进。</w:t>
      </w:r>
    </w:p>
    <w:p>
      <w:pPr>
        <w:pStyle w:val="3"/>
        <w:rPr>
          <w:rFonts w:hAnsi="Times New Roman" w:cs="Times New Roman"/>
          <w:szCs w:val="36"/>
        </w:rPr>
      </w:pPr>
      <w:bookmarkStart w:id="9" w:name="_Toc86914799"/>
      <w:r>
        <w:rPr>
          <w:rFonts w:hAnsi="Times New Roman" w:cs="Times New Roman"/>
          <w:szCs w:val="36"/>
        </w:rPr>
        <w:t>2.3</w:t>
      </w:r>
      <w:r>
        <w:rPr>
          <w:rFonts w:hint="eastAsia" w:hAnsi="Times New Roman" w:cs="Times New Roman"/>
          <w:szCs w:val="36"/>
        </w:rPr>
        <w:t>　搬迁工作机制和队伍建设</w:t>
      </w:r>
      <w:bookmarkEnd w:id="9"/>
    </w:p>
    <w:p>
      <w:pPr>
        <w:pStyle w:val="43"/>
        <w:ind w:firstLine="560"/>
      </w:pPr>
      <w:r>
        <w:rPr>
          <w:rFonts w:hint="eastAsia"/>
        </w:rPr>
        <w:t>元谋县搬迁安置办公室内设11个股室，在元谋县政府的领导下，负责元谋县辖区内水利水电工程移民和重点项目移民安置工作、全县大中型水库移民后期扶持相关工作。</w:t>
      </w:r>
    </w:p>
    <w:p>
      <w:pPr>
        <w:pStyle w:val="43"/>
        <w:ind w:firstLine="560"/>
      </w:pPr>
      <w:r>
        <w:rPr>
          <w:rFonts w:hint="eastAsia"/>
        </w:rPr>
        <w:t>在工作过程中，元谋县一直把移民干部队伍建设放在工作首位，抓好移民干部学习教育培训，加强干部纪律作风建设，强化管党治党政治责任，切实履行全面从严治党主体责任、监督责任和</w:t>
      </w:r>
      <w:r>
        <w:t>“</w:t>
      </w:r>
      <w:r>
        <w:rPr>
          <w:rFonts w:hint="eastAsia"/>
        </w:rPr>
        <w:t>一岗双责</w:t>
      </w:r>
      <w:r>
        <w:t>”</w:t>
      </w:r>
      <w:r>
        <w:rPr>
          <w:rFonts w:hint="eastAsia"/>
        </w:rPr>
        <w:t>责任，严守政治纪律、组织纪律、财经纪律，加强党的建设和党风廉政建设工作，确保本级移民管理机构人员不发生违纪违法案件；重视意识形态工作，严格落实党委（党组）意识形态工作责任制等有关规定，定期开展意识形态有关工作和活动。</w:t>
      </w:r>
    </w:p>
    <w:p>
      <w:pPr>
        <w:pStyle w:val="3"/>
        <w:rPr>
          <w:rFonts w:hAnsi="Times New Roman" w:cs="Times New Roman"/>
          <w:szCs w:val="36"/>
        </w:rPr>
      </w:pPr>
      <w:bookmarkStart w:id="10" w:name="_Toc86914800"/>
      <w:r>
        <w:rPr>
          <w:rFonts w:hAnsi="Times New Roman" w:cs="Times New Roman"/>
          <w:szCs w:val="36"/>
        </w:rPr>
        <w:t>2.4</w:t>
      </w:r>
      <w:r>
        <w:rPr>
          <w:rFonts w:hint="eastAsia" w:hAnsi="Times New Roman" w:cs="Times New Roman"/>
          <w:szCs w:val="36"/>
        </w:rPr>
        <w:t>　库区和移民安置区社会稳定</w:t>
      </w:r>
      <w:bookmarkEnd w:id="10"/>
    </w:p>
    <w:p>
      <w:pPr>
        <w:pStyle w:val="43"/>
        <w:ind w:firstLine="560"/>
        <w:rPr>
          <w:rFonts w:eastAsia="黑体"/>
          <w:kern w:val="44"/>
          <w:sz w:val="36"/>
          <w:szCs w:val="36"/>
        </w:rPr>
      </w:pPr>
      <w:r>
        <w:rPr>
          <w:rFonts w:hint="eastAsia"/>
        </w:rPr>
        <w:t>在“十四五”期间，元谋县将延续已有成功经验，县搬迁安置办在移民乡镇、移民聚集村组聘请有一定组织协调能力、有一定威信、责任心强、做事公道正派的移民为信访联络员，负责移民意愿、诉求的收集反馈，反映问题的核实、解释说明。畅通移民诉求渠道，定期做好辖区移民矛盾纠纷的排查化解，做到移民群众小事不出村，大事不出镇，矛盾问题不沉积、不上交，切实守好维护社会稳定的第一道防线。同时适时了解掌握信访动态，及时上报上级部门。</w:t>
      </w:r>
      <w:bookmarkStart w:id="11" w:name="_Toc61767646"/>
      <w:r>
        <w:br w:type="page"/>
      </w:r>
    </w:p>
    <w:p>
      <w:pPr>
        <w:pStyle w:val="2"/>
        <w:rPr>
          <w:rFonts w:hAnsi="Times New Roman" w:cs="Times New Roman"/>
        </w:rPr>
      </w:pPr>
      <w:bookmarkStart w:id="12" w:name="_Toc86914801"/>
      <w:r>
        <w:rPr>
          <w:rFonts w:hAnsi="Times New Roman" w:cs="Times New Roman"/>
        </w:rPr>
        <w:t>3</w:t>
      </w:r>
      <w:r>
        <w:rPr>
          <w:rFonts w:hint="eastAsia" w:hAnsi="Times New Roman" w:cs="Times New Roman"/>
        </w:rPr>
        <w:t>　搬迁安置规划范围和期限</w:t>
      </w:r>
      <w:bookmarkEnd w:id="11"/>
      <w:bookmarkEnd w:id="12"/>
    </w:p>
    <w:p>
      <w:pPr>
        <w:pStyle w:val="3"/>
        <w:rPr>
          <w:rFonts w:hAnsi="Times New Roman" w:cs="Times New Roman"/>
          <w:szCs w:val="36"/>
        </w:rPr>
      </w:pPr>
      <w:bookmarkStart w:id="13" w:name="_Toc61767647"/>
      <w:bookmarkStart w:id="14" w:name="_Toc86914802"/>
      <w:r>
        <w:rPr>
          <w:rFonts w:hAnsi="Times New Roman" w:cs="Times New Roman"/>
          <w:szCs w:val="36"/>
        </w:rPr>
        <w:t>3.1</w:t>
      </w:r>
      <w:r>
        <w:rPr>
          <w:rFonts w:hint="eastAsia" w:hAnsi="Times New Roman" w:cs="Times New Roman"/>
          <w:szCs w:val="36"/>
        </w:rPr>
        <w:t>　范　围</w:t>
      </w:r>
      <w:bookmarkEnd w:id="13"/>
      <w:bookmarkEnd w:id="14"/>
    </w:p>
    <w:p>
      <w:pPr>
        <w:pStyle w:val="43"/>
        <w:ind w:firstLine="560"/>
      </w:pPr>
      <w:r>
        <w:rPr>
          <w:rFonts w:hint="eastAsia"/>
        </w:rPr>
        <w:t>规划范围为元谋县已建和拟建大中型水利工程。</w:t>
      </w:r>
    </w:p>
    <w:p>
      <w:pPr>
        <w:pStyle w:val="43"/>
        <w:ind w:firstLine="560"/>
      </w:pPr>
      <w:r>
        <w:rPr>
          <w:rFonts w:hint="eastAsia"/>
        </w:rPr>
        <w:t>大型水利工程：已建的乌东德水电站；中型水利工程：拟建的小石门水库。</w:t>
      </w:r>
    </w:p>
    <w:p>
      <w:pPr>
        <w:pStyle w:val="3"/>
        <w:rPr>
          <w:rFonts w:hAnsi="Times New Roman" w:cs="Times New Roman"/>
          <w:szCs w:val="36"/>
        </w:rPr>
      </w:pPr>
      <w:bookmarkStart w:id="15" w:name="_Toc61767648"/>
      <w:bookmarkStart w:id="16" w:name="_Toc86914803"/>
      <w:r>
        <w:rPr>
          <w:rFonts w:hAnsi="Times New Roman" w:cs="Times New Roman"/>
          <w:szCs w:val="36"/>
        </w:rPr>
        <w:t>3.2</w:t>
      </w:r>
      <w:r>
        <w:rPr>
          <w:rFonts w:hint="eastAsia" w:hAnsi="Times New Roman" w:cs="Times New Roman"/>
          <w:szCs w:val="36"/>
        </w:rPr>
        <w:t>　期　限</w:t>
      </w:r>
      <w:bookmarkEnd w:id="15"/>
      <w:bookmarkEnd w:id="16"/>
    </w:p>
    <w:p>
      <w:pPr>
        <w:pStyle w:val="43"/>
        <w:ind w:firstLine="560"/>
        <w:rPr>
          <w:lang w:bidi="en-US"/>
        </w:rPr>
      </w:pPr>
      <w:r>
        <w:rPr>
          <w:rFonts w:hint="eastAsia"/>
          <w:lang w:bidi="en-US"/>
        </w:rPr>
        <w:t>规划期限为</w:t>
      </w:r>
      <w:r>
        <w:rPr>
          <w:lang w:bidi="en-US"/>
        </w:rPr>
        <w:t>2021-2025</w:t>
      </w:r>
      <w:r>
        <w:rPr>
          <w:rFonts w:hint="eastAsia"/>
          <w:lang w:bidi="en-US"/>
        </w:rPr>
        <w:t>年。</w:t>
      </w:r>
    </w:p>
    <w:p>
      <w:pPr>
        <w:pStyle w:val="43"/>
        <w:ind w:firstLine="560"/>
        <w:rPr>
          <w:rFonts w:eastAsia="黑体"/>
          <w:kern w:val="44"/>
          <w:sz w:val="36"/>
          <w:szCs w:val="36"/>
        </w:rPr>
      </w:pPr>
      <w:r>
        <w:rPr>
          <w:rFonts w:hint="eastAsia"/>
          <w:lang w:bidi="en-US"/>
        </w:rPr>
        <w:t>规划基准年为</w:t>
      </w:r>
      <w:r>
        <w:rPr>
          <w:lang w:bidi="en-US"/>
        </w:rPr>
        <w:t>202</w:t>
      </w:r>
      <w:r>
        <w:rPr>
          <w:rFonts w:hint="eastAsia"/>
          <w:lang w:bidi="en-US"/>
        </w:rPr>
        <w:t>0年，规划水平年为</w:t>
      </w:r>
      <w:r>
        <w:rPr>
          <w:lang w:bidi="en-US"/>
        </w:rPr>
        <w:t>2025</w:t>
      </w:r>
      <w:r>
        <w:rPr>
          <w:rFonts w:hint="eastAsia"/>
          <w:lang w:bidi="en-US"/>
        </w:rPr>
        <w:t>年。</w:t>
      </w:r>
    </w:p>
    <w:p>
      <w:pPr>
        <w:widowControl/>
        <w:jc w:val="left"/>
        <w:rPr>
          <w:rFonts w:ascii="Times New Roman" w:hAnsi="Times New Roman" w:eastAsia="黑体" w:cs="Times New Roman"/>
          <w:kern w:val="44"/>
          <w:sz w:val="36"/>
          <w:szCs w:val="36"/>
        </w:rPr>
      </w:pPr>
      <w:bookmarkStart w:id="17" w:name="_Toc61767649"/>
      <w:r>
        <w:rPr>
          <w:rFonts w:ascii="Times New Roman" w:cs="Times New Roman"/>
        </w:rPr>
        <w:br w:type="page"/>
      </w:r>
    </w:p>
    <w:p>
      <w:pPr>
        <w:pStyle w:val="2"/>
        <w:rPr>
          <w:rFonts w:hAnsi="Times New Roman" w:cs="Times New Roman"/>
        </w:rPr>
      </w:pPr>
      <w:bookmarkStart w:id="18" w:name="_Toc86914804"/>
      <w:r>
        <w:rPr>
          <w:rFonts w:hAnsi="Times New Roman" w:cs="Times New Roman"/>
        </w:rPr>
        <w:t>4</w:t>
      </w:r>
      <w:r>
        <w:rPr>
          <w:rFonts w:hint="eastAsia" w:hAnsi="Times New Roman" w:cs="Times New Roman"/>
        </w:rPr>
        <w:t>　移民搬迁安置推进规划</w:t>
      </w:r>
      <w:bookmarkEnd w:id="17"/>
      <w:bookmarkEnd w:id="18"/>
    </w:p>
    <w:p>
      <w:pPr>
        <w:pStyle w:val="43"/>
        <w:ind w:firstLine="560"/>
        <w:rPr>
          <w:rFonts w:hAnsi="Times New Roman"/>
          <w:kern w:val="0"/>
          <w:szCs w:val="24"/>
          <w:lang w:bidi="en-US"/>
        </w:rPr>
      </w:pPr>
      <w:bookmarkStart w:id="19" w:name="_Toc61767650"/>
      <w:r>
        <w:rPr>
          <w:rFonts w:hint="eastAsia"/>
        </w:rPr>
        <w:t>根据元谋县“十四五”大中型水利水电工程规划情况，元谋县十四五期间不涉及在建或拟建大中型水利水电工程的移民搬迁安置推进规划工作。</w:t>
      </w:r>
    </w:p>
    <w:p>
      <w:pPr>
        <w:widowControl/>
        <w:jc w:val="left"/>
        <w:rPr>
          <w:rFonts w:ascii="Times New Roman" w:hAnsi="Times New Roman" w:eastAsia="黑体" w:cs="Times New Roman"/>
          <w:kern w:val="44"/>
          <w:sz w:val="36"/>
          <w:szCs w:val="36"/>
        </w:rPr>
      </w:pPr>
      <w:r>
        <w:rPr>
          <w:rFonts w:ascii="Times New Roman" w:cs="Times New Roman"/>
        </w:rPr>
        <w:br w:type="page"/>
      </w:r>
    </w:p>
    <w:p>
      <w:pPr>
        <w:pStyle w:val="2"/>
        <w:rPr>
          <w:rFonts w:hAnsi="Times New Roman" w:cs="Times New Roman"/>
        </w:rPr>
      </w:pPr>
      <w:bookmarkStart w:id="20" w:name="_Toc86914805"/>
      <w:r>
        <w:rPr>
          <w:rFonts w:hAnsi="Times New Roman" w:cs="Times New Roman"/>
        </w:rPr>
        <w:t>5</w:t>
      </w:r>
      <w:r>
        <w:rPr>
          <w:rFonts w:hint="eastAsia" w:hAnsi="Times New Roman" w:cs="Times New Roman"/>
        </w:rPr>
        <w:t>　前期工作推进规划</w:t>
      </w:r>
      <w:bookmarkEnd w:id="19"/>
      <w:bookmarkEnd w:id="20"/>
    </w:p>
    <w:p>
      <w:pPr>
        <w:pStyle w:val="43"/>
        <w:ind w:firstLine="560"/>
        <w:rPr>
          <w:rFonts w:hAnsi="Times New Roman"/>
        </w:rPr>
      </w:pPr>
      <w:bookmarkStart w:id="21" w:name="_Toc61767651"/>
      <w:r>
        <w:rPr>
          <w:rFonts w:hint="eastAsia" w:hAnsi="Times New Roman"/>
        </w:rPr>
        <w:t>元谋县“十四五”拟建项目有2座，分别为小石门水库及定远河水库。“</w:t>
      </w:r>
      <w:r>
        <w:rPr>
          <w:rFonts w:hint="eastAsia"/>
        </w:rPr>
        <w:t>十四五”期间，元谋县搬迁安置前期工作推进规划重点围绕拟建的小石门水库。</w:t>
      </w:r>
    </w:p>
    <w:p>
      <w:pPr>
        <w:pStyle w:val="43"/>
        <w:ind w:firstLine="560"/>
      </w:pPr>
      <w:r>
        <w:rPr>
          <w:rFonts w:hint="eastAsia"/>
        </w:rPr>
        <w:t>前期工作推进计划如下：小石门水库，2021年5月完成小石门水库可研规划报告的批复，2021年底完成初步设计报告的编制，计划2021年底动工。</w:t>
      </w:r>
    </w:p>
    <w:p>
      <w:pPr>
        <w:widowControl/>
        <w:jc w:val="left"/>
        <w:rPr>
          <w:rFonts w:ascii="Times New Roman" w:hAnsi="Times New Roman" w:eastAsia="黑体" w:cs="Times New Roman"/>
          <w:kern w:val="44"/>
          <w:sz w:val="36"/>
          <w:szCs w:val="36"/>
        </w:rPr>
      </w:pPr>
      <w:r>
        <w:rPr>
          <w:rFonts w:ascii="Times New Roman" w:cs="Times New Roman"/>
        </w:rPr>
        <w:br w:type="page"/>
      </w:r>
    </w:p>
    <w:p>
      <w:pPr>
        <w:pStyle w:val="2"/>
        <w:rPr>
          <w:rFonts w:hAnsi="Times New Roman" w:cs="Times New Roman"/>
        </w:rPr>
      </w:pPr>
      <w:bookmarkStart w:id="22" w:name="_Toc86914806"/>
      <w:r>
        <w:rPr>
          <w:rFonts w:hAnsi="Times New Roman" w:cs="Times New Roman"/>
        </w:rPr>
        <w:t>6</w:t>
      </w:r>
      <w:r>
        <w:rPr>
          <w:rFonts w:hint="eastAsia" w:hAnsi="Times New Roman" w:cs="Times New Roman"/>
        </w:rPr>
        <w:t>　搬迁安置验收规划</w:t>
      </w:r>
      <w:bookmarkEnd w:id="21"/>
      <w:bookmarkEnd w:id="22"/>
    </w:p>
    <w:p>
      <w:pPr>
        <w:pStyle w:val="43"/>
        <w:ind w:firstLine="560"/>
        <w:rPr>
          <w:rFonts w:hAnsi="Times New Roman"/>
          <w:kern w:val="0"/>
          <w:szCs w:val="24"/>
          <w:lang w:bidi="en-US"/>
        </w:rPr>
      </w:pPr>
      <w:r>
        <w:rPr>
          <w:rFonts w:hint="eastAsia"/>
        </w:rPr>
        <w:t>根据元谋县“十四五”水利水电工程规划情况，“十四五”期间，小石门水库预计2021年底动工，计划2021年开展小石门水库截流阶段移民安置验收工作。</w:t>
      </w:r>
    </w:p>
    <w:p>
      <w:pPr>
        <w:ind w:firstLine="560"/>
        <w:rPr>
          <w:rFonts w:ascii="Times New Roman" w:cs="Times New Roman"/>
          <w:color w:val="000000"/>
          <w:szCs w:val="28"/>
        </w:rPr>
        <w:sectPr>
          <w:headerReference r:id="rId13" w:type="even"/>
          <w:pgSz w:w="11906" w:h="16838"/>
          <w:pgMar w:top="1616" w:right="1418" w:bottom="1616" w:left="1418" w:header="907" w:footer="1304" w:gutter="0"/>
          <w:cols w:space="425" w:num="1"/>
          <w:docGrid w:type="lines" w:linePitch="312" w:charSpace="0"/>
        </w:sectPr>
      </w:pPr>
    </w:p>
    <w:p>
      <w:pPr>
        <w:pStyle w:val="2"/>
        <w:jc w:val="center"/>
      </w:pPr>
      <w:bookmarkStart w:id="23" w:name="_Toc86914807"/>
      <w:r>
        <w:rPr>
          <w:rFonts w:hint="eastAsia"/>
        </w:rPr>
        <w:t>第二篇　后期扶持规划</w:t>
      </w:r>
      <w:bookmarkEnd w:id="23"/>
    </w:p>
    <w:p>
      <w:pPr>
        <w:pStyle w:val="2"/>
      </w:pPr>
      <w:bookmarkStart w:id="24" w:name="_Toc86914808"/>
      <w:r>
        <w:t>1</w:t>
      </w:r>
      <w:r>
        <w:rPr>
          <w:rFonts w:hint="eastAsia"/>
        </w:rPr>
        <w:t>　规划背景</w:t>
      </w:r>
      <w:bookmarkEnd w:id="24"/>
    </w:p>
    <w:p>
      <w:pPr>
        <w:pStyle w:val="3"/>
      </w:pPr>
      <w:bookmarkStart w:id="25" w:name="_Toc86914809"/>
      <w:r>
        <w:t>1.1</w:t>
      </w:r>
      <w:r>
        <w:rPr>
          <w:rFonts w:hint="eastAsia"/>
        </w:rPr>
        <w:t>　区域经济社会概况</w:t>
      </w:r>
      <w:bookmarkEnd w:id="25"/>
    </w:p>
    <w:p>
      <w:pPr>
        <w:pStyle w:val="41"/>
      </w:pPr>
      <w:r>
        <w:t>1.1.1</w:t>
      </w:r>
      <w:r>
        <w:rPr>
          <w:rFonts w:hint="eastAsia"/>
        </w:rPr>
        <w:t>　自然地理</w:t>
      </w:r>
    </w:p>
    <w:p>
      <w:pPr>
        <w:pStyle w:val="43"/>
        <w:ind w:firstLine="560"/>
      </w:pPr>
      <w:r>
        <w:rPr>
          <w:rFonts w:hint="eastAsia"/>
        </w:rPr>
        <w:t>元谋县地处滇中高原北部，四周群山环抱，中部扭陷，由南向北倾斜的“筲箕凹”形，形成楚雄州境内海拔最低的“元谋断陷盆地”。盆地东南高，地理坐标为北纬</w:t>
      </w:r>
      <w:r>
        <w:t>25</w:t>
      </w:r>
      <w:r>
        <w:rPr>
          <w:rFonts w:hint="eastAsia"/>
        </w:rPr>
        <w:t>°</w:t>
      </w:r>
      <w:r>
        <w:t>25</w:t>
      </w:r>
      <w:r>
        <w:rPr>
          <w:rFonts w:hint="eastAsia"/>
        </w:rPr>
        <w:t>′～</w:t>
      </w:r>
      <w:r>
        <w:t>26</w:t>
      </w:r>
      <w:r>
        <w:rPr>
          <w:rFonts w:hint="eastAsia"/>
        </w:rPr>
        <w:t>°</w:t>
      </w:r>
      <w:r>
        <w:t>07</w:t>
      </w:r>
      <w:r>
        <w:rPr>
          <w:rFonts w:hint="eastAsia"/>
        </w:rPr>
        <w:t>′，东经</w:t>
      </w:r>
      <w:r>
        <w:t>101</w:t>
      </w:r>
      <w:r>
        <w:rPr>
          <w:rFonts w:hint="eastAsia"/>
        </w:rPr>
        <w:t>°</w:t>
      </w:r>
      <w:r>
        <w:t>35</w:t>
      </w:r>
      <w:r>
        <w:rPr>
          <w:rFonts w:hint="eastAsia"/>
        </w:rPr>
        <w:t>′～</w:t>
      </w:r>
      <w:r>
        <w:t>102</w:t>
      </w:r>
      <w:r>
        <w:rPr>
          <w:rFonts w:hint="eastAsia"/>
        </w:rPr>
        <w:t>°</w:t>
      </w:r>
      <w:r>
        <w:t>05</w:t>
      </w:r>
      <w:r>
        <w:rPr>
          <w:rFonts w:hint="eastAsia"/>
        </w:rPr>
        <w:t>′。东西宽</w:t>
      </w:r>
      <w:r>
        <w:t>42 km</w:t>
      </w:r>
      <w:r>
        <w:rPr>
          <w:rFonts w:hint="eastAsia"/>
        </w:rPr>
        <w:t>，南北长</w:t>
      </w:r>
      <w:r>
        <w:t>77 km</w:t>
      </w:r>
      <w:r>
        <w:rPr>
          <w:rFonts w:hint="eastAsia"/>
        </w:rPr>
        <w:t>，国土面积</w:t>
      </w:r>
      <w:r>
        <w:t>2026.33 km</w:t>
      </w:r>
      <w:r>
        <w:rPr>
          <w:vertAlign w:val="superscript"/>
        </w:rPr>
        <w:t>2</w:t>
      </w:r>
      <w:r>
        <w:rPr>
          <w:rFonts w:hint="eastAsia"/>
        </w:rPr>
        <w:t>。东邻武定县，南接禄丰县，西连大姚县，西南与牟定县、西北与永仁县接壤。</w:t>
      </w:r>
    </w:p>
    <w:p>
      <w:pPr>
        <w:pStyle w:val="43"/>
        <w:ind w:firstLine="560"/>
      </w:pPr>
      <w:r>
        <w:rPr>
          <w:rFonts w:hint="eastAsia"/>
        </w:rPr>
        <w:t>县境内重峦叠嶂，绵亘于东；山地高峻，雄踞于南；西侧为中山和丘陵；极北部总体地势抬高，山丘起伏；中部为低陷的元谋盆地。境内最低海拔</w:t>
      </w:r>
      <w:r>
        <w:t xml:space="preserve"> 898</w:t>
      </w:r>
      <w:r>
        <w:rPr>
          <w:rFonts w:hint="eastAsia"/>
        </w:rPr>
        <w:t xml:space="preserve"> m</w:t>
      </w:r>
      <w:r>
        <w:t xml:space="preserve">，最高海拔 2835.9 </w:t>
      </w:r>
      <w:r>
        <w:rPr>
          <w:rFonts w:hint="eastAsia"/>
        </w:rPr>
        <w:t>m</w:t>
      </w:r>
      <w:r>
        <w:t>，国土面积的 40%处于海拔 1350</w:t>
      </w:r>
      <w:r>
        <w:rPr>
          <w:rFonts w:hint="eastAsia"/>
        </w:rPr>
        <w:t>m</w:t>
      </w:r>
      <w:r>
        <w:t>以下的干热河谷区。热区面积达 797.07 km</w:t>
      </w:r>
      <w:r>
        <w:rPr>
          <w:vertAlign w:val="superscript"/>
        </w:rPr>
        <w:t>2</w:t>
      </w:r>
      <w:r>
        <w:t>。热区内干旱少雨，</w:t>
      </w:r>
      <w:r>
        <w:rPr>
          <w:rFonts w:hint="eastAsia"/>
        </w:rPr>
        <w:t>全年降雨量</w:t>
      </w:r>
      <w:r>
        <w:t>511.6mm</w:t>
      </w:r>
      <w:r>
        <w:rPr>
          <w:rFonts w:hint="eastAsia"/>
        </w:rPr>
        <w:t>，</w:t>
      </w:r>
      <w:r>
        <w:t>年蒸发量高达 3627 mm，</w:t>
      </w:r>
      <w:r>
        <w:rPr>
          <w:rFonts w:hint="eastAsia"/>
        </w:rPr>
        <w:t>全年基本无霜年，平均气温</w:t>
      </w:r>
      <w:r>
        <w:t>23.3</w:t>
      </w:r>
      <w:r>
        <w:rPr>
          <w:rFonts w:hint="eastAsia" w:ascii="宋体" w:hAnsi="宋体" w:eastAsia="宋体" w:cs="宋体"/>
        </w:rPr>
        <w:t>℃</w:t>
      </w:r>
      <w:r>
        <w:rPr>
          <w:rFonts w:hint="eastAsia"/>
        </w:rPr>
        <w:t>，年日照</w:t>
      </w:r>
      <w:r>
        <w:t>2563h</w:t>
      </w:r>
      <w:r>
        <w:rPr>
          <w:rFonts w:hint="eastAsia"/>
        </w:rPr>
        <w:t>，素有“天然温室”之称。被云南省发改委列为全省太阳能开发利用基地示范县，风能、太阳能、生物质能等新能源发展潜力巨大。</w:t>
      </w:r>
    </w:p>
    <w:p>
      <w:pPr>
        <w:pStyle w:val="41"/>
      </w:pPr>
      <w:r>
        <w:t>1.1.2</w:t>
      </w:r>
      <w:r>
        <w:rPr>
          <w:rFonts w:hint="eastAsia"/>
        </w:rPr>
        <w:t>　社会经济</w:t>
      </w:r>
    </w:p>
    <w:p>
      <w:pPr>
        <w:pStyle w:val="43"/>
        <w:ind w:firstLine="544"/>
        <w:rPr>
          <w:spacing w:val="-4"/>
          <w:kern w:val="0"/>
          <w:szCs w:val="24"/>
          <w:lang w:bidi="en-US"/>
        </w:rPr>
      </w:pPr>
      <w:r>
        <w:rPr>
          <w:rFonts w:hint="eastAsia"/>
          <w:spacing w:val="-4"/>
        </w:rPr>
        <w:t>元谋县辖元马、羊街、黄瓜园</w:t>
      </w:r>
      <w:r>
        <w:rPr>
          <w:spacing w:val="-4"/>
        </w:rPr>
        <w:t>3</w:t>
      </w:r>
      <w:r>
        <w:rPr>
          <w:rFonts w:hint="eastAsia"/>
          <w:spacing w:val="-4"/>
        </w:rPr>
        <w:t>镇、姜译、物茂、凉山、平田、老城、新华、江边</w:t>
      </w:r>
      <w:r>
        <w:rPr>
          <w:spacing w:val="-4"/>
        </w:rPr>
        <w:t>7</w:t>
      </w:r>
      <w:r>
        <w:rPr>
          <w:rFonts w:hint="eastAsia"/>
          <w:spacing w:val="-4"/>
        </w:rPr>
        <w:t>乡、</w:t>
      </w:r>
      <w:r>
        <w:rPr>
          <w:spacing w:val="-4"/>
        </w:rPr>
        <w:t>10</w:t>
      </w:r>
      <w:r>
        <w:rPr>
          <w:rFonts w:hint="eastAsia"/>
          <w:spacing w:val="-4"/>
        </w:rPr>
        <w:t>个社区</w:t>
      </w:r>
      <w:r>
        <w:rPr>
          <w:spacing w:val="-4"/>
        </w:rPr>
        <w:t>68</w:t>
      </w:r>
      <w:r>
        <w:rPr>
          <w:rFonts w:hint="eastAsia"/>
          <w:spacing w:val="-4"/>
        </w:rPr>
        <w:t>个行政村、</w:t>
      </w:r>
      <w:r>
        <w:rPr>
          <w:spacing w:val="-4"/>
        </w:rPr>
        <w:t>50</w:t>
      </w:r>
      <w:r>
        <w:rPr>
          <w:rFonts w:hint="eastAsia"/>
          <w:spacing w:val="-4"/>
        </w:rPr>
        <w:t>个居民小组、</w:t>
      </w:r>
      <w:r>
        <w:rPr>
          <w:spacing w:val="-4"/>
        </w:rPr>
        <w:t>616</w:t>
      </w:r>
      <w:r>
        <w:rPr>
          <w:rFonts w:hint="eastAsia"/>
          <w:spacing w:val="-4"/>
        </w:rPr>
        <w:t>个村民小组，</w:t>
      </w:r>
      <w:r>
        <w:rPr>
          <w:spacing w:val="-4"/>
        </w:rPr>
        <w:t>20</w:t>
      </w:r>
      <w:r>
        <w:rPr>
          <w:rFonts w:hint="eastAsia"/>
          <w:spacing w:val="-4"/>
        </w:rPr>
        <w:t>20年末全县户籍人口</w:t>
      </w:r>
      <w:r>
        <w:rPr>
          <w:spacing w:val="-4"/>
        </w:rPr>
        <w:t>21.86</w:t>
      </w:r>
      <w:r>
        <w:rPr>
          <w:rFonts w:hint="eastAsia"/>
          <w:spacing w:val="-4"/>
        </w:rPr>
        <w:t>万人，其中农村人口15.29万人、城镇人口6.57万人，有彝族、傈僳族、回族、苗族等</w:t>
      </w:r>
      <w:r>
        <w:rPr>
          <w:spacing w:val="-4"/>
        </w:rPr>
        <w:t>33</w:t>
      </w:r>
      <w:r>
        <w:rPr>
          <w:rFonts w:hint="eastAsia"/>
          <w:spacing w:val="-4"/>
        </w:rPr>
        <w:t>种少数民族，少数民族人口</w:t>
      </w:r>
      <w:r>
        <w:rPr>
          <w:spacing w:val="-4"/>
        </w:rPr>
        <w:t>9.05</w:t>
      </w:r>
      <w:r>
        <w:rPr>
          <w:rFonts w:hint="eastAsia"/>
          <w:spacing w:val="-4"/>
        </w:rPr>
        <w:t>万人，占总人口的</w:t>
      </w:r>
      <w:r>
        <w:rPr>
          <w:spacing w:val="-4"/>
        </w:rPr>
        <w:t>41.4%</w:t>
      </w:r>
      <w:r>
        <w:rPr>
          <w:rFonts w:hint="eastAsia"/>
          <w:spacing w:val="-4"/>
        </w:rPr>
        <w:t>，全县实有耕地面积</w:t>
      </w:r>
      <w:r>
        <w:rPr>
          <w:spacing w:val="-4"/>
        </w:rPr>
        <w:t>46.7</w:t>
      </w:r>
      <w:r>
        <w:rPr>
          <w:rFonts w:hint="eastAsia"/>
          <w:spacing w:val="-4"/>
        </w:rPr>
        <w:t>万亩，属典型的农业县。</w:t>
      </w:r>
    </w:p>
    <w:p>
      <w:pPr>
        <w:pStyle w:val="43"/>
        <w:ind w:firstLine="560"/>
        <w:rPr>
          <w:lang w:bidi="en-US"/>
        </w:rPr>
      </w:pPr>
      <w:r>
        <w:rPr>
          <w:lang w:bidi="en-US"/>
        </w:rPr>
        <w:t>20</w:t>
      </w:r>
      <w:r>
        <w:rPr>
          <w:rFonts w:hint="eastAsia"/>
          <w:lang w:bidi="en-US"/>
        </w:rPr>
        <w:t>20年，全县实现地区生产总值</w:t>
      </w:r>
      <w:r>
        <w:rPr>
          <w:lang w:bidi="en-US"/>
        </w:rPr>
        <w:t>84.49</w:t>
      </w:r>
      <w:r>
        <w:rPr>
          <w:rFonts w:hint="eastAsia"/>
          <w:lang w:bidi="en-US"/>
        </w:rPr>
        <w:t>亿元，同比增长</w:t>
      </w:r>
      <w:r>
        <w:rPr>
          <w:lang w:bidi="en-US"/>
        </w:rPr>
        <w:t>11.1%</w:t>
      </w:r>
      <w:r>
        <w:rPr>
          <w:rFonts w:hint="eastAsia"/>
          <w:lang w:bidi="en-US"/>
        </w:rPr>
        <w:t>。其中，第一产业增加值</w:t>
      </w:r>
      <w:r>
        <w:rPr>
          <w:lang w:bidi="en-US"/>
        </w:rPr>
        <w:t>21.26</w:t>
      </w:r>
      <w:r>
        <w:rPr>
          <w:rFonts w:hint="eastAsia"/>
          <w:lang w:bidi="en-US"/>
        </w:rPr>
        <w:t>亿元，增长</w:t>
      </w:r>
      <w:r>
        <w:rPr>
          <w:lang w:bidi="en-US"/>
        </w:rPr>
        <w:t>5.8%</w:t>
      </w:r>
      <w:r>
        <w:rPr>
          <w:rFonts w:hint="eastAsia"/>
          <w:lang w:bidi="en-US"/>
        </w:rPr>
        <w:t>；第二产业增加值</w:t>
      </w:r>
      <w:r>
        <w:rPr>
          <w:lang w:bidi="en-US"/>
        </w:rPr>
        <w:t>25.42</w:t>
      </w:r>
      <w:r>
        <w:rPr>
          <w:rFonts w:hint="eastAsia"/>
          <w:lang w:bidi="en-US"/>
        </w:rPr>
        <w:t>亿元，增长</w:t>
      </w:r>
      <w:r>
        <w:rPr>
          <w:lang w:bidi="en-US"/>
        </w:rPr>
        <w:t>15.7%</w:t>
      </w:r>
      <w:r>
        <w:rPr>
          <w:rFonts w:hint="eastAsia"/>
          <w:lang w:bidi="en-US"/>
        </w:rPr>
        <w:t>；第三产业增加值</w:t>
      </w:r>
      <w:r>
        <w:rPr>
          <w:lang w:bidi="en-US"/>
        </w:rPr>
        <w:t>37.81</w:t>
      </w:r>
      <w:r>
        <w:rPr>
          <w:rFonts w:hint="eastAsia"/>
          <w:lang w:bidi="en-US"/>
        </w:rPr>
        <w:t>亿元，增长</w:t>
      </w:r>
      <w:r>
        <w:rPr>
          <w:lang w:bidi="en-US"/>
        </w:rPr>
        <w:t>10.5%</w:t>
      </w:r>
      <w:r>
        <w:rPr>
          <w:rFonts w:hint="eastAsia"/>
          <w:lang w:bidi="en-US"/>
        </w:rPr>
        <w:t>，第一、第二、第三产业对生产总值增长的贡献率分别为</w:t>
      </w:r>
      <w:r>
        <w:rPr>
          <w:lang w:bidi="en-US"/>
        </w:rPr>
        <w:t>13.4%</w:t>
      </w:r>
      <w:r>
        <w:rPr>
          <w:rFonts w:hint="eastAsia"/>
          <w:lang w:bidi="en-US"/>
        </w:rPr>
        <w:t>、</w:t>
      </w:r>
      <w:r>
        <w:rPr>
          <w:lang w:bidi="en-US"/>
        </w:rPr>
        <w:t>46.1%</w:t>
      </w:r>
      <w:r>
        <w:rPr>
          <w:rFonts w:hint="eastAsia"/>
          <w:lang w:bidi="en-US"/>
        </w:rPr>
        <w:t>和</w:t>
      </w:r>
      <w:r>
        <w:rPr>
          <w:lang w:bidi="en-US"/>
        </w:rPr>
        <w:t>40.5%</w:t>
      </w:r>
      <w:r>
        <w:rPr>
          <w:rFonts w:hint="eastAsia"/>
          <w:lang w:bidi="en-US"/>
        </w:rPr>
        <w:t>，分别拉动经济</w:t>
      </w:r>
      <w:r>
        <w:rPr>
          <w:lang w:bidi="en-US"/>
        </w:rPr>
        <w:t>1.5</w:t>
      </w:r>
      <w:r>
        <w:rPr>
          <w:rFonts w:hint="eastAsia"/>
          <w:lang w:bidi="en-US"/>
        </w:rPr>
        <w:t>、</w:t>
      </w:r>
      <w:r>
        <w:rPr>
          <w:lang w:bidi="en-US"/>
        </w:rPr>
        <w:t>5.1</w:t>
      </w:r>
      <w:r>
        <w:rPr>
          <w:rFonts w:hint="eastAsia"/>
          <w:lang w:bidi="en-US"/>
        </w:rPr>
        <w:t>、</w:t>
      </w:r>
      <w:r>
        <w:rPr>
          <w:lang w:bidi="en-US"/>
        </w:rPr>
        <w:t>4.5</w:t>
      </w:r>
      <w:r>
        <w:rPr>
          <w:rFonts w:hint="eastAsia"/>
          <w:lang w:bidi="en-US"/>
        </w:rPr>
        <w:t>个百分点，第一、二、三产业增加值占生产总值的比重为</w:t>
      </w:r>
      <w:r>
        <w:rPr>
          <w:lang w:bidi="en-US"/>
        </w:rPr>
        <w:t>25.2</w:t>
      </w:r>
      <w:r>
        <w:rPr>
          <w:rFonts w:hint="eastAsia"/>
          <w:lang w:bidi="en-US"/>
        </w:rPr>
        <w:t>：</w:t>
      </w:r>
      <w:r>
        <w:rPr>
          <w:lang w:bidi="en-US"/>
        </w:rPr>
        <w:t>30.1</w:t>
      </w:r>
      <w:r>
        <w:rPr>
          <w:rFonts w:hint="eastAsia"/>
          <w:lang w:bidi="en-US"/>
        </w:rPr>
        <w:t>：</w:t>
      </w:r>
      <w:r>
        <w:rPr>
          <w:lang w:bidi="en-US"/>
        </w:rPr>
        <w:t>44.7</w:t>
      </w:r>
      <w:r>
        <w:rPr>
          <w:rFonts w:hint="eastAsia"/>
          <w:lang w:bidi="en-US"/>
        </w:rPr>
        <w:t>。</w:t>
      </w:r>
    </w:p>
    <w:p>
      <w:pPr>
        <w:pStyle w:val="43"/>
        <w:ind w:firstLine="560"/>
        <w:rPr>
          <w:lang w:bidi="en-US"/>
        </w:rPr>
      </w:pPr>
      <w:r>
        <w:rPr>
          <w:rFonts w:hint="eastAsia"/>
          <w:lang w:bidi="en-US"/>
        </w:rPr>
        <w:t>非公有制经济增加值</w:t>
      </w:r>
      <w:r>
        <w:rPr>
          <w:lang w:bidi="en-US"/>
        </w:rPr>
        <w:t>41.97</w:t>
      </w:r>
      <w:r>
        <w:rPr>
          <w:rFonts w:hint="eastAsia"/>
          <w:lang w:bidi="en-US"/>
        </w:rPr>
        <w:t>亿元，比上年增长</w:t>
      </w:r>
      <w:r>
        <w:rPr>
          <w:lang w:bidi="en-US"/>
        </w:rPr>
        <w:t>12.2%</w:t>
      </w:r>
      <w:r>
        <w:rPr>
          <w:rFonts w:hint="eastAsia"/>
          <w:lang w:bidi="en-US"/>
        </w:rPr>
        <w:t>，占</w:t>
      </w:r>
      <w:r>
        <w:rPr>
          <w:lang w:bidi="en-US"/>
        </w:rPr>
        <w:t>GDP</w:t>
      </w:r>
      <w:r>
        <w:rPr>
          <w:rFonts w:hint="eastAsia"/>
          <w:lang w:bidi="en-US"/>
        </w:rPr>
        <w:t>的比重为</w:t>
      </w:r>
      <w:r>
        <w:rPr>
          <w:lang w:bidi="en-US"/>
        </w:rPr>
        <w:t>49.7%</w:t>
      </w:r>
      <w:r>
        <w:rPr>
          <w:rFonts w:hint="eastAsia"/>
          <w:lang w:bidi="en-US"/>
        </w:rPr>
        <w:t>。全年共接待中外游客</w:t>
      </w:r>
      <w:r>
        <w:rPr>
          <w:lang w:bidi="en-US"/>
        </w:rPr>
        <w:t>1068.67</w:t>
      </w:r>
      <w:r>
        <w:rPr>
          <w:rFonts w:hint="eastAsia"/>
          <w:lang w:bidi="en-US"/>
        </w:rPr>
        <w:t>万人次，同比增长</w:t>
      </w:r>
      <w:r>
        <w:rPr>
          <w:lang w:bidi="en-US"/>
        </w:rPr>
        <w:t>21.05%</w:t>
      </w:r>
      <w:r>
        <w:rPr>
          <w:rFonts w:hint="eastAsia"/>
          <w:lang w:bidi="en-US"/>
        </w:rPr>
        <w:t>。其中：国内游客</w:t>
      </w:r>
      <w:r>
        <w:rPr>
          <w:lang w:bidi="en-US"/>
        </w:rPr>
        <w:t>1065.34</w:t>
      </w:r>
      <w:r>
        <w:rPr>
          <w:rFonts w:hint="eastAsia"/>
          <w:lang w:bidi="en-US"/>
        </w:rPr>
        <w:t>万人次，同比增长</w:t>
      </w:r>
      <w:r>
        <w:rPr>
          <w:lang w:bidi="en-US"/>
        </w:rPr>
        <w:t>21.06%</w:t>
      </w:r>
      <w:r>
        <w:rPr>
          <w:rFonts w:hint="eastAsia"/>
          <w:lang w:bidi="en-US"/>
        </w:rPr>
        <w:t>；海外游客</w:t>
      </w:r>
      <w:r>
        <w:rPr>
          <w:lang w:bidi="en-US"/>
        </w:rPr>
        <w:t>3.33</w:t>
      </w:r>
      <w:r>
        <w:rPr>
          <w:rFonts w:hint="eastAsia"/>
          <w:lang w:bidi="en-US"/>
        </w:rPr>
        <w:t>万人次，同比增长</w:t>
      </w:r>
      <w:r>
        <w:rPr>
          <w:lang w:bidi="en-US"/>
        </w:rPr>
        <w:t>16.53%</w:t>
      </w:r>
      <w:r>
        <w:rPr>
          <w:rFonts w:hint="eastAsia"/>
          <w:lang w:bidi="en-US"/>
        </w:rPr>
        <w:t>。全年实现旅游总收入</w:t>
      </w:r>
      <w:r>
        <w:rPr>
          <w:lang w:bidi="en-US"/>
        </w:rPr>
        <w:t>113.35</w:t>
      </w:r>
      <w:r>
        <w:rPr>
          <w:rFonts w:hint="eastAsia"/>
          <w:lang w:bidi="en-US"/>
        </w:rPr>
        <w:t>亿元，同比增长</w:t>
      </w:r>
      <w:r>
        <w:rPr>
          <w:lang w:bidi="en-US"/>
        </w:rPr>
        <w:t>27.16%</w:t>
      </w:r>
      <w:r>
        <w:rPr>
          <w:rFonts w:hint="eastAsia"/>
          <w:lang w:bidi="en-US"/>
        </w:rPr>
        <w:t>。其中：国内旅游收入</w:t>
      </w:r>
      <w:r>
        <w:rPr>
          <w:lang w:bidi="en-US"/>
        </w:rPr>
        <w:t>111.96</w:t>
      </w:r>
      <w:r>
        <w:rPr>
          <w:rFonts w:hint="eastAsia"/>
          <w:lang w:bidi="en-US"/>
        </w:rPr>
        <w:t>亿元，同比增长</w:t>
      </w:r>
      <w:r>
        <w:rPr>
          <w:lang w:bidi="en-US"/>
        </w:rPr>
        <w:t>26.97%</w:t>
      </w:r>
      <w:r>
        <w:rPr>
          <w:rFonts w:hint="eastAsia"/>
          <w:lang w:bidi="en-US"/>
        </w:rPr>
        <w:t>，旅游外汇收入（人民币）</w:t>
      </w:r>
      <w:r>
        <w:rPr>
          <w:lang w:bidi="en-US"/>
        </w:rPr>
        <w:t>1.39</w:t>
      </w:r>
      <w:r>
        <w:rPr>
          <w:rFonts w:hint="eastAsia"/>
          <w:lang w:bidi="en-US"/>
        </w:rPr>
        <w:t>亿元，同比增长</w:t>
      </w:r>
      <w:r>
        <w:rPr>
          <w:lang w:bidi="en-US"/>
        </w:rPr>
        <w:t>44.44%</w:t>
      </w:r>
      <w:r>
        <w:rPr>
          <w:rFonts w:hint="eastAsia"/>
          <w:lang w:bidi="en-US"/>
        </w:rPr>
        <w:t>。</w:t>
      </w:r>
      <w:r>
        <w:rPr>
          <w:lang w:bidi="en-US"/>
        </w:rPr>
        <w:t>2019</w:t>
      </w:r>
      <w:r>
        <w:rPr>
          <w:rFonts w:hint="eastAsia"/>
          <w:lang w:bidi="en-US"/>
        </w:rPr>
        <w:t>年成功创建为云南省全域旅游示范区。</w:t>
      </w:r>
    </w:p>
    <w:p>
      <w:pPr>
        <w:pStyle w:val="43"/>
        <w:ind w:firstLine="560"/>
        <w:rPr>
          <w:lang w:bidi="en-US"/>
        </w:rPr>
      </w:pPr>
      <w:r>
        <w:rPr>
          <w:lang w:bidi="en-US"/>
        </w:rPr>
        <w:t>20</w:t>
      </w:r>
      <w:r>
        <w:rPr>
          <w:rFonts w:hint="eastAsia"/>
          <w:lang w:bidi="en-US"/>
        </w:rPr>
        <w:t>20年全县城镇常住居民人均可支配收入达</w:t>
      </w:r>
      <w:r>
        <w:rPr>
          <w:lang w:bidi="en-US"/>
        </w:rPr>
        <w:t>38163</w:t>
      </w:r>
      <w:r>
        <w:rPr>
          <w:rFonts w:hint="eastAsia"/>
          <w:lang w:bidi="en-US"/>
        </w:rPr>
        <w:t>元，增长</w:t>
      </w:r>
      <w:r>
        <w:rPr>
          <w:lang w:bidi="en-US"/>
        </w:rPr>
        <w:t>8%</w:t>
      </w:r>
      <w:r>
        <w:rPr>
          <w:rFonts w:hint="eastAsia"/>
          <w:lang w:bidi="en-US"/>
        </w:rPr>
        <w:t>，农村常住居民人均可支配收入达</w:t>
      </w:r>
      <w:r>
        <w:rPr>
          <w:lang w:bidi="en-US"/>
        </w:rPr>
        <w:t>13711</w:t>
      </w:r>
      <w:r>
        <w:rPr>
          <w:rFonts w:hint="eastAsia"/>
          <w:lang w:bidi="en-US"/>
        </w:rPr>
        <w:t>元，增长</w:t>
      </w:r>
      <w:r>
        <w:rPr>
          <w:lang w:bidi="en-US"/>
        </w:rPr>
        <w:t>9%</w:t>
      </w:r>
      <w:r>
        <w:rPr>
          <w:rFonts w:hint="eastAsia"/>
          <w:lang w:bidi="en-US"/>
        </w:rPr>
        <w:t>。</w:t>
      </w:r>
    </w:p>
    <w:p>
      <w:pPr>
        <w:pStyle w:val="43"/>
        <w:ind w:firstLine="560"/>
        <w:rPr>
          <w:lang w:bidi="en-US"/>
        </w:rPr>
      </w:pPr>
      <w:r>
        <w:rPr>
          <w:rFonts w:hint="eastAsia"/>
          <w:lang w:bidi="en-US"/>
        </w:rPr>
        <w:t>元谋县社会经济指标统计详见表</w:t>
      </w:r>
      <w:r>
        <w:rPr>
          <w:lang w:bidi="en-US"/>
        </w:rPr>
        <w:t>1.1-2</w:t>
      </w:r>
      <w:r>
        <w:rPr>
          <w:rFonts w:hint="eastAsia"/>
          <w:lang w:bidi="en-US"/>
        </w:rPr>
        <w:t>。</w:t>
      </w:r>
    </w:p>
    <w:p>
      <w:pPr>
        <w:pStyle w:val="53"/>
        <w:ind w:firstLine="240"/>
      </w:pPr>
      <w:r>
        <w:rPr>
          <w:rFonts w:hint="eastAsia"/>
        </w:rPr>
        <w:t>表</w:t>
      </w:r>
      <w:r>
        <w:t>1.1-2　　　</w:t>
      </w:r>
      <w:r>
        <w:rPr>
          <w:rFonts w:hint="eastAsia"/>
        </w:rPr>
        <w:t>　</w:t>
      </w:r>
      <w:r>
        <w:t>　　</w:t>
      </w:r>
      <w:r>
        <w:rPr>
          <w:rFonts w:hint="eastAsia"/>
        </w:rPr>
        <w:t xml:space="preserve"> 元谋县2020年经济社会基本情况统计表</w:t>
      </w:r>
    </w:p>
    <w:tbl>
      <w:tblPr>
        <w:tblStyle w:val="23"/>
        <w:tblW w:w="9072" w:type="dxa"/>
        <w:jc w:val="center"/>
        <w:tblInd w:w="0" w:type="dxa"/>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1629"/>
        <w:gridCol w:w="2493"/>
        <w:gridCol w:w="2459"/>
        <w:gridCol w:w="2491"/>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312" w:hRule="atLeast"/>
          <w:jc w:val="center"/>
        </w:trPr>
        <w:tc>
          <w:tcPr>
            <w:tcW w:w="4122" w:type="dxa"/>
            <w:gridSpan w:val="2"/>
            <w:shd w:val="clear" w:color="auto" w:fill="auto"/>
            <w:noWrap/>
            <w:vAlign w:val="center"/>
          </w:tcPr>
          <w:p>
            <w:pPr>
              <w:pStyle w:val="52"/>
              <w:spacing w:line="240" w:lineRule="exact"/>
            </w:pPr>
            <w:r>
              <w:rPr>
                <w:rFonts w:hint="eastAsia"/>
              </w:rPr>
              <w:t>项目</w:t>
            </w:r>
          </w:p>
        </w:tc>
        <w:tc>
          <w:tcPr>
            <w:tcW w:w="2459" w:type="dxa"/>
            <w:shd w:val="clear" w:color="auto" w:fill="auto"/>
            <w:noWrap/>
            <w:vAlign w:val="center"/>
          </w:tcPr>
          <w:p>
            <w:pPr>
              <w:pStyle w:val="52"/>
              <w:spacing w:line="240" w:lineRule="exact"/>
            </w:pPr>
            <w:r>
              <w:rPr>
                <w:rFonts w:hint="eastAsia"/>
              </w:rPr>
              <w:t>单位</w:t>
            </w:r>
          </w:p>
        </w:tc>
        <w:tc>
          <w:tcPr>
            <w:tcW w:w="2491" w:type="dxa"/>
            <w:shd w:val="clear" w:color="auto" w:fill="auto"/>
            <w:noWrap/>
            <w:vAlign w:val="center"/>
          </w:tcPr>
          <w:p>
            <w:pPr>
              <w:pStyle w:val="52"/>
              <w:spacing w:line="240" w:lineRule="exact"/>
            </w:pPr>
            <w:r>
              <w:rPr>
                <w:rFonts w:hint="eastAsia"/>
              </w:rPr>
              <w:t>指标</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312" w:hRule="atLeast"/>
          <w:jc w:val="center"/>
        </w:trPr>
        <w:tc>
          <w:tcPr>
            <w:tcW w:w="1629" w:type="dxa"/>
            <w:vMerge w:val="restart"/>
            <w:shd w:val="clear" w:color="auto" w:fill="auto"/>
            <w:noWrap/>
            <w:vAlign w:val="center"/>
          </w:tcPr>
          <w:p>
            <w:pPr>
              <w:pStyle w:val="52"/>
              <w:spacing w:line="240" w:lineRule="exact"/>
            </w:pPr>
            <w:r>
              <w:rPr>
                <w:rFonts w:hint="eastAsia"/>
              </w:rPr>
              <w:t>行政</w:t>
            </w:r>
          </w:p>
          <w:p>
            <w:pPr>
              <w:pStyle w:val="52"/>
              <w:spacing w:line="240" w:lineRule="exact"/>
            </w:pPr>
            <w:r>
              <w:rPr>
                <w:rFonts w:hint="eastAsia"/>
              </w:rPr>
              <w:t>区划</w:t>
            </w:r>
          </w:p>
        </w:tc>
        <w:tc>
          <w:tcPr>
            <w:tcW w:w="2493" w:type="dxa"/>
            <w:shd w:val="clear" w:color="auto" w:fill="auto"/>
            <w:noWrap/>
            <w:vAlign w:val="center"/>
          </w:tcPr>
          <w:p>
            <w:pPr>
              <w:pStyle w:val="52"/>
              <w:spacing w:line="240" w:lineRule="exact"/>
            </w:pPr>
            <w:r>
              <w:rPr>
                <w:rFonts w:hint="eastAsia"/>
              </w:rPr>
              <w:t>乡（镇）</w:t>
            </w:r>
          </w:p>
        </w:tc>
        <w:tc>
          <w:tcPr>
            <w:tcW w:w="2459" w:type="dxa"/>
            <w:shd w:val="clear" w:color="auto" w:fill="auto"/>
            <w:noWrap/>
            <w:vAlign w:val="center"/>
          </w:tcPr>
          <w:p>
            <w:pPr>
              <w:pStyle w:val="52"/>
              <w:spacing w:line="240" w:lineRule="exact"/>
            </w:pPr>
            <w:r>
              <w:rPr>
                <w:rFonts w:hint="eastAsia"/>
              </w:rPr>
              <w:t>个</w:t>
            </w:r>
          </w:p>
        </w:tc>
        <w:tc>
          <w:tcPr>
            <w:tcW w:w="2491" w:type="dxa"/>
            <w:shd w:val="clear" w:color="auto" w:fill="auto"/>
            <w:vAlign w:val="center"/>
          </w:tcPr>
          <w:p>
            <w:pPr>
              <w:pStyle w:val="52"/>
              <w:spacing w:line="240" w:lineRule="exact"/>
            </w:pPr>
            <w:r>
              <w:t>10</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312" w:hRule="atLeast"/>
          <w:jc w:val="center"/>
        </w:trPr>
        <w:tc>
          <w:tcPr>
            <w:tcW w:w="1629" w:type="dxa"/>
            <w:vMerge w:val="continue"/>
            <w:vAlign w:val="center"/>
          </w:tcPr>
          <w:p>
            <w:pPr>
              <w:pStyle w:val="52"/>
              <w:spacing w:line="240" w:lineRule="exact"/>
            </w:pPr>
          </w:p>
        </w:tc>
        <w:tc>
          <w:tcPr>
            <w:tcW w:w="2493" w:type="dxa"/>
            <w:shd w:val="clear" w:color="auto" w:fill="auto"/>
            <w:noWrap/>
            <w:vAlign w:val="center"/>
          </w:tcPr>
          <w:p>
            <w:pPr>
              <w:pStyle w:val="52"/>
              <w:spacing w:line="240" w:lineRule="exact"/>
            </w:pPr>
            <w:r>
              <w:rPr>
                <w:rFonts w:hint="eastAsia"/>
              </w:rPr>
              <w:t>村（社区）</w:t>
            </w:r>
          </w:p>
        </w:tc>
        <w:tc>
          <w:tcPr>
            <w:tcW w:w="2459" w:type="dxa"/>
            <w:shd w:val="clear" w:color="auto" w:fill="auto"/>
            <w:noWrap/>
            <w:vAlign w:val="center"/>
          </w:tcPr>
          <w:p>
            <w:pPr>
              <w:pStyle w:val="52"/>
              <w:spacing w:line="240" w:lineRule="exact"/>
            </w:pPr>
            <w:r>
              <w:rPr>
                <w:rFonts w:hint="eastAsia"/>
              </w:rPr>
              <w:t>个</w:t>
            </w:r>
          </w:p>
        </w:tc>
        <w:tc>
          <w:tcPr>
            <w:tcW w:w="2491" w:type="dxa"/>
            <w:shd w:val="clear" w:color="auto" w:fill="auto"/>
            <w:vAlign w:val="center"/>
          </w:tcPr>
          <w:p>
            <w:pPr>
              <w:pStyle w:val="52"/>
              <w:spacing w:line="240" w:lineRule="exact"/>
            </w:pPr>
            <w:r>
              <w:t>78</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312" w:hRule="atLeast"/>
          <w:jc w:val="center"/>
        </w:trPr>
        <w:tc>
          <w:tcPr>
            <w:tcW w:w="1629" w:type="dxa"/>
            <w:vMerge w:val="continue"/>
            <w:vAlign w:val="center"/>
          </w:tcPr>
          <w:p>
            <w:pPr>
              <w:pStyle w:val="52"/>
              <w:spacing w:line="240" w:lineRule="exact"/>
            </w:pPr>
          </w:p>
        </w:tc>
        <w:tc>
          <w:tcPr>
            <w:tcW w:w="2493" w:type="dxa"/>
            <w:shd w:val="clear" w:color="auto" w:fill="auto"/>
            <w:noWrap/>
            <w:vAlign w:val="center"/>
          </w:tcPr>
          <w:p>
            <w:pPr>
              <w:pStyle w:val="52"/>
              <w:spacing w:line="240" w:lineRule="exact"/>
            </w:pPr>
            <w:r>
              <w:rPr>
                <w:rFonts w:hint="eastAsia"/>
              </w:rPr>
              <w:t>村（居）民小组</w:t>
            </w:r>
          </w:p>
        </w:tc>
        <w:tc>
          <w:tcPr>
            <w:tcW w:w="2459" w:type="dxa"/>
            <w:shd w:val="clear" w:color="auto" w:fill="auto"/>
            <w:noWrap/>
            <w:vAlign w:val="center"/>
          </w:tcPr>
          <w:p>
            <w:pPr>
              <w:pStyle w:val="52"/>
              <w:spacing w:line="240" w:lineRule="exact"/>
            </w:pPr>
            <w:r>
              <w:rPr>
                <w:rFonts w:hint="eastAsia"/>
              </w:rPr>
              <w:t>个</w:t>
            </w:r>
          </w:p>
        </w:tc>
        <w:tc>
          <w:tcPr>
            <w:tcW w:w="2491" w:type="dxa"/>
            <w:shd w:val="clear" w:color="auto" w:fill="auto"/>
            <w:noWrap/>
            <w:vAlign w:val="center"/>
          </w:tcPr>
          <w:p>
            <w:pPr>
              <w:pStyle w:val="52"/>
              <w:spacing w:line="240" w:lineRule="exact"/>
            </w:pPr>
            <w:r>
              <w:t>666</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312" w:hRule="atLeast"/>
          <w:jc w:val="center"/>
        </w:trPr>
        <w:tc>
          <w:tcPr>
            <w:tcW w:w="1629" w:type="dxa"/>
            <w:vMerge w:val="restart"/>
            <w:shd w:val="clear" w:color="auto" w:fill="auto"/>
            <w:noWrap/>
            <w:vAlign w:val="center"/>
          </w:tcPr>
          <w:p>
            <w:pPr>
              <w:pStyle w:val="52"/>
              <w:spacing w:line="240" w:lineRule="exact"/>
            </w:pPr>
            <w:r>
              <w:rPr>
                <w:rFonts w:hint="eastAsia"/>
              </w:rPr>
              <w:t>土地</w:t>
            </w:r>
          </w:p>
        </w:tc>
        <w:tc>
          <w:tcPr>
            <w:tcW w:w="2493" w:type="dxa"/>
            <w:shd w:val="clear" w:color="auto" w:fill="auto"/>
            <w:noWrap/>
            <w:vAlign w:val="center"/>
          </w:tcPr>
          <w:p>
            <w:pPr>
              <w:pStyle w:val="52"/>
              <w:spacing w:line="240" w:lineRule="exact"/>
            </w:pPr>
            <w:r>
              <w:rPr>
                <w:rFonts w:hint="eastAsia"/>
              </w:rPr>
              <w:t>幅员面积</w:t>
            </w:r>
          </w:p>
        </w:tc>
        <w:tc>
          <w:tcPr>
            <w:tcW w:w="2459" w:type="dxa"/>
            <w:shd w:val="clear" w:color="auto" w:fill="auto"/>
            <w:noWrap/>
            <w:vAlign w:val="center"/>
          </w:tcPr>
          <w:p>
            <w:pPr>
              <w:pStyle w:val="52"/>
              <w:spacing w:line="240" w:lineRule="exact"/>
            </w:pPr>
            <w:r>
              <w:rPr>
                <w:rFonts w:hint="eastAsia"/>
              </w:rPr>
              <w:t>万</w:t>
            </w:r>
            <w:r>
              <w:t>km</w:t>
            </w:r>
            <w:r>
              <w:rPr>
                <w:vertAlign w:val="superscript"/>
              </w:rPr>
              <w:t>2</w:t>
            </w:r>
          </w:p>
        </w:tc>
        <w:tc>
          <w:tcPr>
            <w:tcW w:w="2491" w:type="dxa"/>
            <w:shd w:val="clear" w:color="auto" w:fill="auto"/>
            <w:noWrap/>
            <w:vAlign w:val="center"/>
          </w:tcPr>
          <w:p>
            <w:pPr>
              <w:pStyle w:val="52"/>
              <w:spacing w:line="240" w:lineRule="exact"/>
            </w:pPr>
            <w:r>
              <w:t xml:space="preserve">0.20 </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312" w:hRule="atLeast"/>
          <w:jc w:val="center"/>
        </w:trPr>
        <w:tc>
          <w:tcPr>
            <w:tcW w:w="1629" w:type="dxa"/>
            <w:vMerge w:val="continue"/>
            <w:vAlign w:val="center"/>
          </w:tcPr>
          <w:p>
            <w:pPr>
              <w:pStyle w:val="52"/>
              <w:spacing w:line="240" w:lineRule="exact"/>
            </w:pPr>
          </w:p>
        </w:tc>
        <w:tc>
          <w:tcPr>
            <w:tcW w:w="2493" w:type="dxa"/>
            <w:shd w:val="clear" w:color="auto" w:fill="auto"/>
            <w:noWrap/>
            <w:vAlign w:val="center"/>
          </w:tcPr>
          <w:p>
            <w:pPr>
              <w:pStyle w:val="52"/>
              <w:spacing w:line="240" w:lineRule="exact"/>
            </w:pPr>
            <w:r>
              <w:rPr>
                <w:rFonts w:hint="eastAsia"/>
              </w:rPr>
              <w:t>其中：耕地</w:t>
            </w:r>
          </w:p>
        </w:tc>
        <w:tc>
          <w:tcPr>
            <w:tcW w:w="2459" w:type="dxa"/>
            <w:shd w:val="clear" w:color="auto" w:fill="auto"/>
            <w:noWrap/>
            <w:vAlign w:val="center"/>
          </w:tcPr>
          <w:p>
            <w:pPr>
              <w:pStyle w:val="52"/>
              <w:spacing w:line="240" w:lineRule="exact"/>
            </w:pPr>
            <w:r>
              <w:rPr>
                <w:rFonts w:hint="eastAsia"/>
              </w:rPr>
              <w:t>万亩</w:t>
            </w:r>
          </w:p>
        </w:tc>
        <w:tc>
          <w:tcPr>
            <w:tcW w:w="2491" w:type="dxa"/>
            <w:shd w:val="clear" w:color="auto" w:fill="auto"/>
            <w:noWrap/>
            <w:vAlign w:val="center"/>
          </w:tcPr>
          <w:p>
            <w:pPr>
              <w:pStyle w:val="52"/>
              <w:spacing w:line="240" w:lineRule="exact"/>
            </w:pPr>
            <w:r>
              <w:t xml:space="preserve">46.7 </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312" w:hRule="atLeast"/>
          <w:jc w:val="center"/>
        </w:trPr>
        <w:tc>
          <w:tcPr>
            <w:tcW w:w="4122" w:type="dxa"/>
            <w:gridSpan w:val="2"/>
            <w:shd w:val="clear" w:color="auto" w:fill="auto"/>
            <w:noWrap/>
            <w:vAlign w:val="center"/>
          </w:tcPr>
          <w:p>
            <w:pPr>
              <w:pStyle w:val="52"/>
              <w:spacing w:line="240" w:lineRule="exact"/>
            </w:pPr>
            <w:r>
              <w:rPr>
                <w:rFonts w:hint="eastAsia"/>
              </w:rPr>
              <w:t>年末常住人口</w:t>
            </w:r>
          </w:p>
        </w:tc>
        <w:tc>
          <w:tcPr>
            <w:tcW w:w="2459" w:type="dxa"/>
            <w:shd w:val="clear" w:color="auto" w:fill="auto"/>
            <w:noWrap/>
            <w:vAlign w:val="center"/>
          </w:tcPr>
          <w:p>
            <w:pPr>
              <w:pStyle w:val="52"/>
              <w:spacing w:line="240" w:lineRule="exact"/>
            </w:pPr>
            <w:r>
              <w:rPr>
                <w:rFonts w:hint="eastAsia"/>
              </w:rPr>
              <w:t>万人</w:t>
            </w:r>
          </w:p>
        </w:tc>
        <w:tc>
          <w:tcPr>
            <w:tcW w:w="2491" w:type="dxa"/>
            <w:shd w:val="clear" w:color="auto" w:fill="auto"/>
            <w:noWrap/>
            <w:vAlign w:val="center"/>
          </w:tcPr>
          <w:p>
            <w:pPr>
              <w:pStyle w:val="52"/>
              <w:spacing w:line="240" w:lineRule="exact"/>
            </w:pPr>
            <w:r>
              <w:t>22.18</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312" w:hRule="atLeast"/>
          <w:jc w:val="center"/>
        </w:trPr>
        <w:tc>
          <w:tcPr>
            <w:tcW w:w="1629" w:type="dxa"/>
            <w:vMerge w:val="restart"/>
            <w:shd w:val="clear" w:color="auto" w:fill="auto"/>
            <w:vAlign w:val="center"/>
          </w:tcPr>
          <w:p>
            <w:pPr>
              <w:pStyle w:val="52"/>
              <w:spacing w:line="240" w:lineRule="exact"/>
            </w:pPr>
            <w:r>
              <w:rPr>
                <w:rFonts w:hint="eastAsia"/>
              </w:rPr>
              <w:t>地区生产总值</w:t>
            </w:r>
          </w:p>
        </w:tc>
        <w:tc>
          <w:tcPr>
            <w:tcW w:w="2493" w:type="dxa"/>
            <w:shd w:val="clear" w:color="auto" w:fill="auto"/>
            <w:noWrap/>
            <w:vAlign w:val="center"/>
          </w:tcPr>
          <w:p>
            <w:pPr>
              <w:pStyle w:val="52"/>
              <w:spacing w:line="240" w:lineRule="exact"/>
            </w:pPr>
            <w:r>
              <w:rPr>
                <w:rFonts w:hint="eastAsia"/>
              </w:rPr>
              <w:t>合计</w:t>
            </w:r>
          </w:p>
        </w:tc>
        <w:tc>
          <w:tcPr>
            <w:tcW w:w="2459" w:type="dxa"/>
            <w:shd w:val="clear" w:color="auto" w:fill="auto"/>
            <w:noWrap/>
            <w:vAlign w:val="center"/>
          </w:tcPr>
          <w:p>
            <w:pPr>
              <w:pStyle w:val="52"/>
              <w:spacing w:line="240" w:lineRule="exact"/>
            </w:pPr>
            <w:r>
              <w:rPr>
                <w:rFonts w:hint="eastAsia"/>
              </w:rPr>
              <w:t>亿元</w:t>
            </w:r>
          </w:p>
        </w:tc>
        <w:tc>
          <w:tcPr>
            <w:tcW w:w="2491" w:type="dxa"/>
            <w:shd w:val="clear" w:color="auto" w:fill="auto"/>
            <w:noWrap/>
            <w:vAlign w:val="center"/>
          </w:tcPr>
          <w:p>
            <w:pPr>
              <w:pStyle w:val="52"/>
              <w:spacing w:line="240" w:lineRule="exact"/>
            </w:pPr>
            <w:r>
              <w:t>84.49</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312" w:hRule="atLeast"/>
          <w:jc w:val="center"/>
        </w:trPr>
        <w:tc>
          <w:tcPr>
            <w:tcW w:w="1629" w:type="dxa"/>
            <w:vMerge w:val="continue"/>
            <w:vAlign w:val="center"/>
          </w:tcPr>
          <w:p>
            <w:pPr>
              <w:pStyle w:val="52"/>
              <w:spacing w:line="240" w:lineRule="exact"/>
            </w:pPr>
          </w:p>
        </w:tc>
        <w:tc>
          <w:tcPr>
            <w:tcW w:w="2493" w:type="dxa"/>
            <w:shd w:val="clear" w:color="auto" w:fill="auto"/>
            <w:noWrap/>
            <w:vAlign w:val="center"/>
          </w:tcPr>
          <w:p>
            <w:pPr>
              <w:pStyle w:val="52"/>
              <w:spacing w:line="240" w:lineRule="exact"/>
            </w:pPr>
            <w:r>
              <w:rPr>
                <w:rFonts w:hint="eastAsia"/>
              </w:rPr>
              <w:t>第一产业</w:t>
            </w:r>
          </w:p>
        </w:tc>
        <w:tc>
          <w:tcPr>
            <w:tcW w:w="2459" w:type="dxa"/>
            <w:shd w:val="clear" w:color="auto" w:fill="auto"/>
            <w:noWrap/>
            <w:vAlign w:val="center"/>
          </w:tcPr>
          <w:p>
            <w:pPr>
              <w:pStyle w:val="52"/>
              <w:spacing w:line="240" w:lineRule="exact"/>
            </w:pPr>
            <w:r>
              <w:rPr>
                <w:rFonts w:hint="eastAsia"/>
              </w:rPr>
              <w:t>亿元</w:t>
            </w:r>
          </w:p>
        </w:tc>
        <w:tc>
          <w:tcPr>
            <w:tcW w:w="2491" w:type="dxa"/>
            <w:shd w:val="clear" w:color="auto" w:fill="auto"/>
            <w:noWrap/>
            <w:vAlign w:val="center"/>
          </w:tcPr>
          <w:p>
            <w:pPr>
              <w:pStyle w:val="52"/>
              <w:spacing w:line="240" w:lineRule="exact"/>
            </w:pPr>
            <w:r>
              <w:t>21.26</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312" w:hRule="atLeast"/>
          <w:jc w:val="center"/>
        </w:trPr>
        <w:tc>
          <w:tcPr>
            <w:tcW w:w="1629" w:type="dxa"/>
            <w:vMerge w:val="continue"/>
            <w:vAlign w:val="center"/>
          </w:tcPr>
          <w:p>
            <w:pPr>
              <w:pStyle w:val="52"/>
              <w:spacing w:line="240" w:lineRule="exact"/>
            </w:pPr>
          </w:p>
        </w:tc>
        <w:tc>
          <w:tcPr>
            <w:tcW w:w="2493" w:type="dxa"/>
            <w:shd w:val="clear" w:color="auto" w:fill="auto"/>
            <w:noWrap/>
            <w:vAlign w:val="center"/>
          </w:tcPr>
          <w:p>
            <w:pPr>
              <w:pStyle w:val="52"/>
              <w:spacing w:line="240" w:lineRule="exact"/>
            </w:pPr>
            <w:r>
              <w:rPr>
                <w:rFonts w:hint="eastAsia"/>
              </w:rPr>
              <w:t>第二产业</w:t>
            </w:r>
          </w:p>
        </w:tc>
        <w:tc>
          <w:tcPr>
            <w:tcW w:w="2459" w:type="dxa"/>
            <w:shd w:val="clear" w:color="auto" w:fill="auto"/>
            <w:noWrap/>
            <w:vAlign w:val="center"/>
          </w:tcPr>
          <w:p>
            <w:pPr>
              <w:pStyle w:val="52"/>
              <w:spacing w:line="240" w:lineRule="exact"/>
            </w:pPr>
            <w:r>
              <w:rPr>
                <w:rFonts w:hint="eastAsia"/>
              </w:rPr>
              <w:t>亿元</w:t>
            </w:r>
          </w:p>
        </w:tc>
        <w:tc>
          <w:tcPr>
            <w:tcW w:w="2491" w:type="dxa"/>
            <w:shd w:val="clear" w:color="auto" w:fill="auto"/>
            <w:noWrap/>
            <w:vAlign w:val="center"/>
          </w:tcPr>
          <w:p>
            <w:pPr>
              <w:pStyle w:val="52"/>
              <w:spacing w:line="240" w:lineRule="exact"/>
            </w:pPr>
            <w:r>
              <w:t>25.42</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312" w:hRule="atLeast"/>
          <w:jc w:val="center"/>
        </w:trPr>
        <w:tc>
          <w:tcPr>
            <w:tcW w:w="1629" w:type="dxa"/>
            <w:vMerge w:val="continue"/>
            <w:vAlign w:val="center"/>
          </w:tcPr>
          <w:p>
            <w:pPr>
              <w:pStyle w:val="52"/>
              <w:spacing w:line="240" w:lineRule="exact"/>
            </w:pPr>
          </w:p>
        </w:tc>
        <w:tc>
          <w:tcPr>
            <w:tcW w:w="2493" w:type="dxa"/>
            <w:shd w:val="clear" w:color="auto" w:fill="auto"/>
            <w:noWrap/>
            <w:vAlign w:val="center"/>
          </w:tcPr>
          <w:p>
            <w:pPr>
              <w:pStyle w:val="52"/>
              <w:spacing w:line="240" w:lineRule="exact"/>
            </w:pPr>
            <w:r>
              <w:rPr>
                <w:rFonts w:hint="eastAsia"/>
              </w:rPr>
              <w:t>第三产业</w:t>
            </w:r>
          </w:p>
        </w:tc>
        <w:tc>
          <w:tcPr>
            <w:tcW w:w="2459" w:type="dxa"/>
            <w:shd w:val="clear" w:color="auto" w:fill="auto"/>
            <w:noWrap/>
            <w:vAlign w:val="center"/>
          </w:tcPr>
          <w:p>
            <w:pPr>
              <w:pStyle w:val="52"/>
              <w:spacing w:line="240" w:lineRule="exact"/>
            </w:pPr>
            <w:r>
              <w:rPr>
                <w:rFonts w:hint="eastAsia"/>
              </w:rPr>
              <w:t>亿元</w:t>
            </w:r>
          </w:p>
        </w:tc>
        <w:tc>
          <w:tcPr>
            <w:tcW w:w="2491" w:type="dxa"/>
            <w:shd w:val="clear" w:color="auto" w:fill="auto"/>
            <w:noWrap/>
            <w:vAlign w:val="center"/>
          </w:tcPr>
          <w:p>
            <w:pPr>
              <w:pStyle w:val="52"/>
              <w:spacing w:line="240" w:lineRule="exact"/>
            </w:pPr>
            <w:r>
              <w:t>37.81</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312" w:hRule="atLeast"/>
          <w:jc w:val="center"/>
        </w:trPr>
        <w:tc>
          <w:tcPr>
            <w:tcW w:w="1629" w:type="dxa"/>
            <w:vMerge w:val="restart"/>
            <w:vAlign w:val="center"/>
          </w:tcPr>
          <w:p>
            <w:pPr>
              <w:pStyle w:val="52"/>
              <w:spacing w:line="240" w:lineRule="exact"/>
            </w:pPr>
            <w:r>
              <w:rPr>
                <w:rFonts w:hint="eastAsia"/>
              </w:rPr>
              <w:t>居民人均可支配收入</w:t>
            </w:r>
          </w:p>
        </w:tc>
        <w:tc>
          <w:tcPr>
            <w:tcW w:w="2493" w:type="dxa"/>
            <w:shd w:val="clear" w:color="auto" w:fill="auto"/>
            <w:noWrap/>
            <w:vAlign w:val="center"/>
          </w:tcPr>
          <w:p>
            <w:pPr>
              <w:pStyle w:val="52"/>
              <w:spacing w:line="240" w:lineRule="exact"/>
            </w:pPr>
            <w:r>
              <w:rPr>
                <w:rFonts w:hint="eastAsia"/>
              </w:rPr>
              <w:t>城镇居民</w:t>
            </w:r>
          </w:p>
        </w:tc>
        <w:tc>
          <w:tcPr>
            <w:tcW w:w="2459" w:type="dxa"/>
            <w:shd w:val="clear" w:color="auto" w:fill="auto"/>
            <w:noWrap/>
            <w:vAlign w:val="center"/>
          </w:tcPr>
          <w:p>
            <w:pPr>
              <w:pStyle w:val="52"/>
              <w:spacing w:line="240" w:lineRule="exact"/>
            </w:pPr>
            <w:r>
              <w:rPr>
                <w:rFonts w:hint="eastAsia"/>
              </w:rPr>
              <w:t>元</w:t>
            </w:r>
          </w:p>
        </w:tc>
        <w:tc>
          <w:tcPr>
            <w:tcW w:w="2491" w:type="dxa"/>
            <w:shd w:val="clear" w:color="auto" w:fill="auto"/>
            <w:noWrap/>
            <w:vAlign w:val="center"/>
          </w:tcPr>
          <w:p>
            <w:pPr>
              <w:pStyle w:val="52"/>
              <w:spacing w:line="240" w:lineRule="exact"/>
            </w:pPr>
            <w:r>
              <w:t>38163</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312" w:hRule="atLeast"/>
          <w:jc w:val="center"/>
        </w:trPr>
        <w:tc>
          <w:tcPr>
            <w:tcW w:w="1629" w:type="dxa"/>
            <w:vMerge w:val="continue"/>
            <w:vAlign w:val="center"/>
          </w:tcPr>
          <w:p>
            <w:pPr>
              <w:pStyle w:val="52"/>
              <w:spacing w:line="240" w:lineRule="exact"/>
            </w:pPr>
          </w:p>
        </w:tc>
        <w:tc>
          <w:tcPr>
            <w:tcW w:w="2493" w:type="dxa"/>
            <w:shd w:val="clear" w:color="auto" w:fill="auto"/>
            <w:noWrap/>
            <w:vAlign w:val="center"/>
          </w:tcPr>
          <w:p>
            <w:pPr>
              <w:pStyle w:val="52"/>
              <w:spacing w:line="240" w:lineRule="exact"/>
            </w:pPr>
            <w:r>
              <w:rPr>
                <w:rFonts w:hint="eastAsia"/>
              </w:rPr>
              <w:t>农村居民</w:t>
            </w:r>
          </w:p>
        </w:tc>
        <w:tc>
          <w:tcPr>
            <w:tcW w:w="2459" w:type="dxa"/>
            <w:shd w:val="clear" w:color="auto" w:fill="auto"/>
            <w:noWrap/>
            <w:vAlign w:val="center"/>
          </w:tcPr>
          <w:p>
            <w:pPr>
              <w:pStyle w:val="52"/>
              <w:spacing w:line="240" w:lineRule="exact"/>
            </w:pPr>
            <w:r>
              <w:rPr>
                <w:rFonts w:hint="eastAsia"/>
              </w:rPr>
              <w:t>元</w:t>
            </w:r>
          </w:p>
        </w:tc>
        <w:tc>
          <w:tcPr>
            <w:tcW w:w="2491" w:type="dxa"/>
            <w:shd w:val="clear" w:color="auto" w:fill="auto"/>
            <w:noWrap/>
            <w:vAlign w:val="center"/>
          </w:tcPr>
          <w:p>
            <w:pPr>
              <w:pStyle w:val="52"/>
              <w:spacing w:line="240" w:lineRule="exact"/>
            </w:pPr>
            <w:r>
              <w:t>13711</w:t>
            </w:r>
          </w:p>
        </w:tc>
      </w:tr>
    </w:tbl>
    <w:p>
      <w:pPr>
        <w:pStyle w:val="3"/>
        <w:rPr>
          <w:rFonts w:hAnsi="Times New Roman" w:cs="Times New Roman"/>
          <w:szCs w:val="36"/>
        </w:rPr>
      </w:pPr>
      <w:bookmarkStart w:id="26" w:name="_Toc86914810"/>
      <w:r>
        <w:rPr>
          <w:rFonts w:hAnsi="Times New Roman" w:cs="Times New Roman"/>
          <w:szCs w:val="36"/>
        </w:rPr>
        <w:t>1.2</w:t>
      </w:r>
      <w:r>
        <w:rPr>
          <w:rFonts w:hint="eastAsia" w:hAnsi="Times New Roman" w:cs="Times New Roman"/>
          <w:szCs w:val="36"/>
        </w:rPr>
        <w:t>　水库移民基本情况</w:t>
      </w:r>
      <w:bookmarkEnd w:id="26"/>
    </w:p>
    <w:p>
      <w:pPr>
        <w:pStyle w:val="41"/>
      </w:pPr>
      <w:r>
        <w:t>1.2.1</w:t>
      </w:r>
      <w:r>
        <w:rPr>
          <w:rFonts w:hint="eastAsia"/>
        </w:rPr>
        <w:t>　后期扶持范围人口核定情况</w:t>
      </w:r>
    </w:p>
    <w:p>
      <w:pPr>
        <w:pStyle w:val="43"/>
        <w:ind w:firstLine="560"/>
        <w:rPr>
          <w:lang w:bidi="en-US"/>
        </w:rPr>
      </w:pPr>
      <w:r>
        <w:rPr>
          <w:rFonts w:hint="eastAsia"/>
          <w:lang w:bidi="en-US"/>
        </w:rPr>
        <w:t>截至</w:t>
      </w:r>
      <w:r>
        <w:rPr>
          <w:lang w:bidi="en-US"/>
        </w:rPr>
        <w:t>2020</w:t>
      </w:r>
      <w:r>
        <w:rPr>
          <w:rFonts w:hint="eastAsia"/>
          <w:lang w:bidi="en-US"/>
        </w:rPr>
        <w:t>年底，元谋县移民主要是乌东德水电站移民、河尾水库移民和麻柳水库移民等，另外还有部分外迁水库移民。后扶移民共</w:t>
      </w:r>
      <w:r>
        <w:rPr>
          <w:lang w:bidi="en-US"/>
        </w:rPr>
        <w:t>14014</w:t>
      </w:r>
      <w:r>
        <w:rPr>
          <w:rFonts w:hint="eastAsia"/>
          <w:lang w:bidi="en-US"/>
        </w:rPr>
        <w:t>人，其中2006年核定的后期扶持人口为3275人，2016年核定的后期扶持人口为159人，2019年核定的后期扶持人口为10580人。</w:t>
      </w:r>
    </w:p>
    <w:p>
      <w:pPr>
        <w:pStyle w:val="43"/>
        <w:ind w:firstLine="560"/>
        <w:rPr>
          <w:lang w:bidi="en-US"/>
        </w:rPr>
      </w:pPr>
      <w:r>
        <w:rPr>
          <w:rFonts w:hint="eastAsia"/>
          <w:lang w:bidi="en-US"/>
        </w:rPr>
        <w:t>按移民分布现状，元谋县大中型水库后期扶持人口涉及全县</w:t>
      </w:r>
      <w:r>
        <w:rPr>
          <w:lang w:bidi="en-US"/>
        </w:rPr>
        <w:t>8</w:t>
      </w:r>
      <w:r>
        <w:rPr>
          <w:rFonts w:hint="eastAsia"/>
          <w:lang w:bidi="en-US"/>
        </w:rPr>
        <w:t>个乡（镇）</w:t>
      </w:r>
      <w:r>
        <w:rPr>
          <w:lang w:bidi="en-US"/>
        </w:rPr>
        <w:t>50</w:t>
      </w:r>
      <w:r>
        <w:rPr>
          <w:rFonts w:hint="eastAsia"/>
          <w:lang w:bidi="en-US"/>
        </w:rPr>
        <w:t>个村（社区）</w:t>
      </w:r>
      <w:r>
        <w:rPr>
          <w:lang w:bidi="en-US"/>
        </w:rPr>
        <w:t>183</w:t>
      </w:r>
      <w:r>
        <w:rPr>
          <w:rFonts w:hint="eastAsia"/>
          <w:lang w:bidi="en-US"/>
        </w:rPr>
        <w:t>个村民小组。其中元马镇7433</w:t>
      </w:r>
      <w:r>
        <w:rPr>
          <w:lang w:bidi="en-US"/>
        </w:rPr>
        <w:t>人，</w:t>
      </w:r>
      <w:r>
        <w:rPr>
          <w:rFonts w:hint="eastAsia"/>
          <w:lang w:bidi="en-US"/>
        </w:rPr>
        <w:t>黄瓜园</w:t>
      </w:r>
      <w:r>
        <w:rPr>
          <w:lang w:bidi="en-US"/>
        </w:rPr>
        <w:t>镇</w:t>
      </w:r>
      <w:r>
        <w:rPr>
          <w:rFonts w:hint="eastAsia"/>
          <w:lang w:bidi="en-US"/>
        </w:rPr>
        <w:t>213</w:t>
      </w:r>
      <w:r>
        <w:rPr>
          <w:lang w:bidi="en-US"/>
        </w:rPr>
        <w:t>人，</w:t>
      </w:r>
      <w:r>
        <w:rPr>
          <w:rFonts w:hint="eastAsia"/>
          <w:lang w:bidi="en-US"/>
        </w:rPr>
        <w:t>江边乡3843</w:t>
      </w:r>
      <w:r>
        <w:rPr>
          <w:lang w:bidi="en-US"/>
        </w:rPr>
        <w:t>人，</w:t>
      </w:r>
      <w:r>
        <w:rPr>
          <w:rFonts w:hint="eastAsia"/>
          <w:lang w:bidi="en-US"/>
        </w:rPr>
        <w:t>老城乡1655</w:t>
      </w:r>
      <w:r>
        <w:rPr>
          <w:lang w:bidi="en-US"/>
        </w:rPr>
        <w:t>人，</w:t>
      </w:r>
      <w:r>
        <w:rPr>
          <w:rFonts w:hint="eastAsia"/>
          <w:lang w:bidi="en-US"/>
        </w:rPr>
        <w:t>平田乡359</w:t>
      </w:r>
      <w:r>
        <w:rPr>
          <w:lang w:bidi="en-US"/>
        </w:rPr>
        <w:t>人，</w:t>
      </w:r>
      <w:r>
        <w:rPr>
          <w:rFonts w:hint="eastAsia"/>
          <w:lang w:bidi="en-US"/>
        </w:rPr>
        <w:t>物茂乡57</w:t>
      </w:r>
      <w:r>
        <w:rPr>
          <w:lang w:bidi="en-US"/>
        </w:rPr>
        <w:t>人，</w:t>
      </w:r>
      <w:r>
        <w:rPr>
          <w:rFonts w:hint="eastAsia"/>
          <w:lang w:bidi="en-US"/>
        </w:rPr>
        <w:t>新华乡452</w:t>
      </w:r>
      <w:r>
        <w:rPr>
          <w:lang w:bidi="en-US"/>
        </w:rPr>
        <w:t>人，</w:t>
      </w:r>
      <w:r>
        <w:rPr>
          <w:rFonts w:hint="eastAsia"/>
          <w:lang w:bidi="en-US"/>
        </w:rPr>
        <w:t>羊街</w:t>
      </w:r>
      <w:r>
        <w:rPr>
          <w:lang w:bidi="en-US"/>
        </w:rPr>
        <w:t>镇</w:t>
      </w:r>
      <w:r>
        <w:rPr>
          <w:rFonts w:hint="eastAsia"/>
          <w:lang w:bidi="en-US"/>
        </w:rPr>
        <w:t>2</w:t>
      </w:r>
      <w:r>
        <w:rPr>
          <w:lang w:bidi="en-US"/>
        </w:rPr>
        <w:t>人。详情见附表1-4</w:t>
      </w:r>
      <w:r>
        <w:rPr>
          <w:rFonts w:hint="eastAsia"/>
          <w:lang w:bidi="en-US"/>
        </w:rPr>
        <w:t>。</w:t>
      </w:r>
    </w:p>
    <w:p>
      <w:pPr>
        <w:pStyle w:val="43"/>
        <w:ind w:firstLine="560"/>
        <w:rPr>
          <w:lang w:bidi="en-US"/>
        </w:rPr>
      </w:pPr>
      <w:r>
        <w:rPr>
          <w:rFonts w:hint="eastAsia"/>
          <w:lang w:bidi="en-US"/>
        </w:rPr>
        <w:t>结合后期扶持人口分布情况分析，全县8个乡（镇）</w:t>
      </w:r>
      <w:r>
        <w:rPr>
          <w:lang w:bidi="en-US"/>
        </w:rPr>
        <w:t>50</w:t>
      </w:r>
      <w:r>
        <w:rPr>
          <w:rFonts w:hint="eastAsia"/>
          <w:lang w:bidi="en-US"/>
        </w:rPr>
        <w:t>个村（社区）中，移民人口按</w:t>
      </w:r>
      <w:r>
        <w:rPr>
          <w:lang w:bidi="en-US"/>
        </w:rPr>
        <w:t>500人以上、500至200人、200至50人、50至30人、30人以下进行划分，</w:t>
      </w:r>
      <w:r>
        <w:rPr>
          <w:rFonts w:hint="eastAsia"/>
          <w:lang w:bidi="en-US"/>
        </w:rPr>
        <w:t>其中：后扶人口在</w:t>
      </w:r>
      <w:r>
        <w:rPr>
          <w:lang w:bidi="en-US"/>
        </w:rPr>
        <w:t>500人及以上的村委会</w:t>
      </w:r>
      <w:r>
        <w:rPr>
          <w:rFonts w:hint="eastAsia"/>
          <w:lang w:bidi="en-US"/>
        </w:rPr>
        <w:t>6</w:t>
      </w:r>
      <w:r>
        <w:rPr>
          <w:lang w:bidi="en-US"/>
        </w:rPr>
        <w:t>个共</w:t>
      </w:r>
      <w:r>
        <w:rPr>
          <w:rFonts w:hint="eastAsia"/>
          <w:lang w:bidi="en-US"/>
        </w:rPr>
        <w:t>11886</w:t>
      </w:r>
      <w:r>
        <w:rPr>
          <w:lang w:bidi="en-US"/>
        </w:rPr>
        <w:t>人，占后期扶持人口的</w:t>
      </w:r>
      <w:r>
        <w:rPr>
          <w:rFonts w:hint="eastAsia"/>
          <w:lang w:bidi="en-US"/>
        </w:rPr>
        <w:t>84.82</w:t>
      </w:r>
      <w:r>
        <w:rPr>
          <w:lang w:bidi="en-US"/>
        </w:rPr>
        <w:t>%；</w:t>
      </w:r>
      <w:r>
        <w:rPr>
          <w:rFonts w:hint="eastAsia"/>
          <w:lang w:bidi="en-US"/>
        </w:rPr>
        <w:t>500</w:t>
      </w:r>
      <w:r>
        <w:rPr>
          <w:lang w:bidi="en-US"/>
        </w:rPr>
        <w:t>至</w:t>
      </w:r>
      <w:r>
        <w:rPr>
          <w:rFonts w:hint="eastAsia"/>
          <w:lang w:bidi="en-US"/>
        </w:rPr>
        <w:t>2</w:t>
      </w:r>
      <w:r>
        <w:rPr>
          <w:lang w:bidi="en-US"/>
        </w:rPr>
        <w:t>00人的村委会</w:t>
      </w:r>
      <w:r>
        <w:rPr>
          <w:rFonts w:hint="eastAsia"/>
          <w:lang w:bidi="en-US"/>
        </w:rPr>
        <w:t>3</w:t>
      </w:r>
      <w:r>
        <w:rPr>
          <w:lang w:bidi="en-US"/>
        </w:rPr>
        <w:t>个共</w:t>
      </w:r>
      <w:r>
        <w:rPr>
          <w:rFonts w:hint="eastAsia"/>
          <w:lang w:bidi="en-US"/>
        </w:rPr>
        <w:t>810</w:t>
      </w:r>
      <w:r>
        <w:rPr>
          <w:lang w:bidi="en-US"/>
        </w:rPr>
        <w:t>人，占后期扶持人口的</w:t>
      </w:r>
      <w:r>
        <w:rPr>
          <w:rFonts w:hint="eastAsia"/>
          <w:lang w:bidi="en-US"/>
        </w:rPr>
        <w:t>5.78</w:t>
      </w:r>
      <w:r>
        <w:rPr>
          <w:lang w:bidi="en-US"/>
        </w:rPr>
        <w:t>%；</w:t>
      </w:r>
      <w:r>
        <w:rPr>
          <w:rFonts w:hint="eastAsia"/>
          <w:lang w:bidi="en-US"/>
        </w:rPr>
        <w:t>2</w:t>
      </w:r>
      <w:r>
        <w:rPr>
          <w:lang w:bidi="en-US"/>
        </w:rPr>
        <w:t>00至</w:t>
      </w:r>
      <w:r>
        <w:rPr>
          <w:rFonts w:hint="eastAsia"/>
          <w:lang w:bidi="en-US"/>
        </w:rPr>
        <w:t>50</w:t>
      </w:r>
      <w:r>
        <w:rPr>
          <w:lang w:bidi="en-US"/>
        </w:rPr>
        <w:t>人的村委</w:t>
      </w:r>
      <w:r>
        <w:rPr>
          <w:rFonts w:hint="eastAsia"/>
          <w:lang w:bidi="en-US"/>
        </w:rPr>
        <w:t>会</w:t>
      </w:r>
      <w:r>
        <w:rPr>
          <w:lang w:bidi="en-US"/>
        </w:rPr>
        <w:t>9</w:t>
      </w:r>
      <w:r>
        <w:rPr>
          <w:rFonts w:hint="eastAsia"/>
          <w:lang w:bidi="en-US"/>
        </w:rPr>
        <w:t>个</w:t>
      </w:r>
      <w:r>
        <w:rPr>
          <w:lang w:bidi="en-US"/>
        </w:rPr>
        <w:t>1087</w:t>
      </w:r>
      <w:r>
        <w:rPr>
          <w:rFonts w:hint="eastAsia"/>
          <w:lang w:bidi="en-US"/>
        </w:rPr>
        <w:t>人，占后期扶持人口的</w:t>
      </w:r>
      <w:r>
        <w:rPr>
          <w:lang w:bidi="en-US"/>
        </w:rPr>
        <w:t>7.76%</w:t>
      </w:r>
      <w:r>
        <w:rPr>
          <w:rFonts w:hint="eastAsia"/>
          <w:lang w:bidi="en-US"/>
        </w:rPr>
        <w:t>；</w:t>
      </w:r>
      <w:r>
        <w:rPr>
          <w:lang w:bidi="en-US"/>
        </w:rPr>
        <w:t>50</w:t>
      </w:r>
      <w:r>
        <w:rPr>
          <w:rFonts w:hint="eastAsia"/>
          <w:lang w:bidi="en-US"/>
        </w:rPr>
        <w:t>至</w:t>
      </w:r>
      <w:r>
        <w:rPr>
          <w:lang w:bidi="en-US"/>
        </w:rPr>
        <w:t>30</w:t>
      </w:r>
      <w:r>
        <w:rPr>
          <w:rFonts w:hint="eastAsia"/>
          <w:lang w:bidi="en-US"/>
        </w:rPr>
        <w:t>人的村委会</w:t>
      </w:r>
      <w:r>
        <w:rPr>
          <w:lang w:bidi="en-US"/>
        </w:rPr>
        <w:t>1</w:t>
      </w:r>
      <w:r>
        <w:rPr>
          <w:rFonts w:hint="eastAsia"/>
          <w:lang w:bidi="en-US"/>
        </w:rPr>
        <w:t>个</w:t>
      </w:r>
      <w:r>
        <w:rPr>
          <w:lang w:bidi="en-US"/>
        </w:rPr>
        <w:t>47</w:t>
      </w:r>
      <w:r>
        <w:rPr>
          <w:rFonts w:hint="eastAsia"/>
          <w:lang w:bidi="en-US"/>
        </w:rPr>
        <w:t>人，占后期扶持人口的</w:t>
      </w:r>
      <w:r>
        <w:rPr>
          <w:lang w:bidi="en-US"/>
        </w:rPr>
        <w:t>0.34%</w:t>
      </w:r>
      <w:r>
        <w:rPr>
          <w:rFonts w:hint="eastAsia"/>
          <w:lang w:bidi="en-US"/>
        </w:rPr>
        <w:t>；</w:t>
      </w:r>
      <w:r>
        <w:rPr>
          <w:lang w:bidi="en-US"/>
        </w:rPr>
        <w:t>30</w:t>
      </w:r>
      <w:r>
        <w:rPr>
          <w:rFonts w:hint="eastAsia"/>
          <w:lang w:bidi="en-US"/>
        </w:rPr>
        <w:t>人以下的村委会</w:t>
      </w:r>
      <w:r>
        <w:rPr>
          <w:lang w:bidi="en-US"/>
        </w:rPr>
        <w:t>31</w:t>
      </w:r>
      <w:r>
        <w:rPr>
          <w:rFonts w:hint="eastAsia"/>
          <w:lang w:bidi="en-US"/>
        </w:rPr>
        <w:t>个</w:t>
      </w:r>
      <w:r>
        <w:rPr>
          <w:lang w:bidi="en-US"/>
        </w:rPr>
        <w:t>184</w:t>
      </w:r>
      <w:r>
        <w:rPr>
          <w:rFonts w:hint="eastAsia"/>
          <w:lang w:bidi="en-US"/>
        </w:rPr>
        <w:t>人，</w:t>
      </w:r>
      <w:r>
        <w:rPr>
          <w:lang w:bidi="en-US"/>
        </w:rPr>
        <w:t>占后期扶持</w:t>
      </w:r>
      <w:r>
        <w:rPr>
          <w:rFonts w:hint="eastAsia"/>
          <w:lang w:bidi="en-US"/>
        </w:rPr>
        <w:t>人口的</w:t>
      </w:r>
      <w:r>
        <w:rPr>
          <w:lang w:bidi="en-US"/>
        </w:rPr>
        <w:t>1.3</w:t>
      </w:r>
      <w:r>
        <w:rPr>
          <w:rFonts w:hint="eastAsia"/>
          <w:lang w:bidi="en-US"/>
        </w:rPr>
        <w:t>0</w:t>
      </w:r>
      <w:r>
        <w:rPr>
          <w:lang w:bidi="en-US"/>
        </w:rPr>
        <w:t>%</w:t>
      </w:r>
      <w:r>
        <w:rPr>
          <w:rFonts w:hint="eastAsia"/>
          <w:lang w:bidi="en-US"/>
        </w:rPr>
        <w:t>。</w:t>
      </w:r>
    </w:p>
    <w:p>
      <w:pPr>
        <w:pStyle w:val="41"/>
      </w:pPr>
      <w:r>
        <w:t>1.2.2</w:t>
      </w:r>
      <w:r>
        <w:rPr>
          <w:rFonts w:hint="eastAsia"/>
        </w:rPr>
        <w:t>　移民经济社会情况</w:t>
      </w:r>
    </w:p>
    <w:p>
      <w:pPr>
        <w:pStyle w:val="43"/>
        <w:ind w:firstLine="560"/>
        <w:rPr>
          <w:lang w:bidi="en-US"/>
        </w:rPr>
      </w:pPr>
      <w:r>
        <w:t>元谋县大中型水库后期扶持人口</w:t>
      </w:r>
      <w:r>
        <w:rPr>
          <w:lang w:bidi="en-US"/>
        </w:rPr>
        <w:t>中整体搬迁</w:t>
      </w:r>
      <w:r>
        <w:rPr>
          <w:rFonts w:hint="eastAsia"/>
          <w:lang w:bidi="en-US"/>
        </w:rPr>
        <w:t>4</w:t>
      </w:r>
      <w:r>
        <w:rPr>
          <w:lang w:bidi="en-US"/>
        </w:rPr>
        <w:t>个村，占总数的</w:t>
      </w:r>
      <w:r>
        <w:rPr>
          <w:rFonts w:hint="eastAsia"/>
          <w:lang w:bidi="en-US"/>
        </w:rPr>
        <w:t>8%，涉及</w:t>
      </w:r>
      <w:r>
        <w:rPr>
          <w:lang w:bidi="en-US"/>
        </w:rPr>
        <w:t>分散安置46个村</w:t>
      </w:r>
      <w:r>
        <w:rPr>
          <w:rFonts w:hint="eastAsia"/>
          <w:lang w:bidi="en-US"/>
        </w:rPr>
        <w:t>，</w:t>
      </w:r>
      <w:r>
        <w:rPr>
          <w:lang w:bidi="en-US"/>
        </w:rPr>
        <w:t>占总数的</w:t>
      </w:r>
      <w:r>
        <w:rPr>
          <w:rFonts w:hint="eastAsia"/>
          <w:lang w:bidi="en-US"/>
        </w:rPr>
        <w:t>92%</w:t>
      </w:r>
      <w:r>
        <w:rPr>
          <w:lang w:bidi="en-US"/>
        </w:rPr>
        <w:t>；涉及移民户</w:t>
      </w:r>
      <w:r>
        <w:rPr>
          <w:rFonts w:hint="eastAsia"/>
          <w:lang w:bidi="en-US"/>
        </w:rPr>
        <w:t>4200</w:t>
      </w:r>
      <w:r>
        <w:rPr>
          <w:lang w:bidi="en-US"/>
        </w:rPr>
        <w:t>户，其中纯农户</w:t>
      </w:r>
      <w:r>
        <w:rPr>
          <w:rFonts w:hint="eastAsia"/>
          <w:lang w:bidi="en-US"/>
        </w:rPr>
        <w:t>4036户，农业兼业户48户，其他116户</w:t>
      </w:r>
      <w:r>
        <w:rPr>
          <w:lang w:bidi="en-US"/>
        </w:rPr>
        <w:t>；移民劳动力共</w:t>
      </w:r>
      <w:r>
        <w:rPr>
          <w:rFonts w:hint="eastAsia"/>
          <w:lang w:bidi="en-US"/>
        </w:rPr>
        <w:t>11037</w:t>
      </w:r>
      <w:r>
        <w:rPr>
          <w:lang w:bidi="en-US"/>
        </w:rPr>
        <w:t>人，从事家庭经营</w:t>
      </w:r>
      <w:r>
        <w:rPr>
          <w:rFonts w:hint="eastAsia"/>
          <w:lang w:bidi="en-US"/>
        </w:rPr>
        <w:t>6141</w:t>
      </w:r>
      <w:r>
        <w:rPr>
          <w:lang w:bidi="en-US"/>
        </w:rPr>
        <w:t>人，外出务工</w:t>
      </w:r>
      <w:r>
        <w:rPr>
          <w:rFonts w:hint="eastAsia"/>
          <w:lang w:bidi="en-US"/>
        </w:rPr>
        <w:t>4896</w:t>
      </w:r>
      <w:r>
        <w:rPr>
          <w:lang w:bidi="en-US"/>
        </w:rPr>
        <w:t>人；元谋县移民拥有耕（园）地共</w:t>
      </w:r>
      <w:r>
        <w:rPr>
          <w:rFonts w:hint="eastAsia"/>
          <w:lang w:bidi="en-US"/>
        </w:rPr>
        <w:t>13062.96</w:t>
      </w:r>
      <w:r>
        <w:rPr>
          <w:lang w:bidi="en-US"/>
        </w:rPr>
        <w:t>亩，</w:t>
      </w:r>
      <w:r>
        <w:rPr>
          <w:rFonts w:hint="eastAsia"/>
          <w:lang w:bidi="en-US"/>
        </w:rPr>
        <w:t>其中</w:t>
      </w:r>
      <w:r>
        <w:rPr>
          <w:lang w:bidi="en-US"/>
        </w:rPr>
        <w:t>耕地</w:t>
      </w:r>
      <w:r>
        <w:rPr>
          <w:rFonts w:hint="eastAsia"/>
          <w:lang w:bidi="en-US"/>
        </w:rPr>
        <w:t>13008.85亩，园地54.11亩</w:t>
      </w:r>
      <w:r>
        <w:rPr>
          <w:lang w:bidi="en-US"/>
        </w:rPr>
        <w:t>，人均耕（园）地</w:t>
      </w:r>
      <w:r>
        <w:rPr>
          <w:rFonts w:hint="eastAsia"/>
          <w:lang w:bidi="en-US"/>
        </w:rPr>
        <w:t>0.93</w:t>
      </w:r>
      <w:r>
        <w:rPr>
          <w:lang w:bidi="en-US"/>
        </w:rPr>
        <w:t>亩</w:t>
      </w:r>
      <w:r>
        <w:rPr>
          <w:rFonts w:hint="eastAsia"/>
          <w:lang w:bidi="en-US"/>
        </w:rPr>
        <w:t>。</w:t>
      </w:r>
    </w:p>
    <w:p>
      <w:pPr>
        <w:pStyle w:val="43"/>
        <w:ind w:firstLine="560"/>
        <w:rPr>
          <w:lang w:bidi="en-US"/>
        </w:rPr>
      </w:pPr>
      <w:r>
        <w:rPr>
          <w:rFonts w:hint="eastAsia"/>
          <w:lang w:bidi="en-US"/>
        </w:rPr>
        <w:t>元谋县</w:t>
      </w:r>
      <w:r>
        <w:rPr>
          <w:lang w:bidi="en-US"/>
        </w:rPr>
        <w:t>移民人均可支配收入</w:t>
      </w:r>
      <w:r>
        <w:rPr>
          <w:rFonts w:hint="eastAsia"/>
          <w:lang w:bidi="en-US"/>
        </w:rPr>
        <w:t>7500</w:t>
      </w:r>
      <w:r>
        <w:rPr>
          <w:lang w:bidi="en-US"/>
        </w:rPr>
        <w:t>元至1</w:t>
      </w:r>
      <w:r>
        <w:rPr>
          <w:rFonts w:hint="eastAsia"/>
          <w:lang w:bidi="en-US"/>
        </w:rPr>
        <w:t>6030.8</w:t>
      </w:r>
      <w:r>
        <w:rPr>
          <w:lang w:bidi="en-US"/>
        </w:rPr>
        <w:t>元之间</w:t>
      </w:r>
      <w:r>
        <w:rPr>
          <w:rFonts w:hint="eastAsia"/>
          <w:lang w:bidi="en-US"/>
        </w:rPr>
        <w:t>。</w:t>
      </w:r>
    </w:p>
    <w:p>
      <w:pPr>
        <w:pStyle w:val="43"/>
        <w:ind w:firstLine="560"/>
        <w:rPr>
          <w:lang w:bidi="en-US"/>
        </w:rPr>
      </w:pPr>
      <w:r>
        <w:rPr>
          <w:rFonts w:hint="eastAsia"/>
          <w:lang w:bidi="en-US"/>
        </w:rPr>
        <w:t>元谋县</w:t>
      </w:r>
      <w:r>
        <w:rPr>
          <w:lang w:bidi="en-US"/>
        </w:rPr>
        <w:t>2020年末大中型水库移民经济社会状况具体见附表1-5。</w:t>
      </w:r>
    </w:p>
    <w:p>
      <w:pPr>
        <w:pStyle w:val="3"/>
        <w:rPr>
          <w:rFonts w:hAnsi="Times New Roman" w:cs="Times New Roman"/>
          <w:szCs w:val="36"/>
        </w:rPr>
      </w:pPr>
      <w:bookmarkStart w:id="27" w:name="_Toc86914811"/>
      <w:r>
        <w:rPr>
          <w:rFonts w:hAnsi="Times New Roman" w:cs="Times New Roman"/>
          <w:szCs w:val="36"/>
        </w:rPr>
        <w:t>1.3</w:t>
      </w:r>
      <w:r>
        <w:rPr>
          <w:rFonts w:hint="eastAsia" w:hAnsi="Times New Roman" w:cs="Times New Roman"/>
          <w:szCs w:val="36"/>
        </w:rPr>
        <w:t>　</w:t>
      </w:r>
      <w:r>
        <w:rPr>
          <w:rFonts w:hAnsi="Times New Roman" w:cs="Times New Roman"/>
          <w:szCs w:val="36"/>
        </w:rPr>
        <w:t>“</w:t>
      </w:r>
      <w:r>
        <w:rPr>
          <w:rFonts w:hint="eastAsia" w:hAnsi="Times New Roman" w:cs="Times New Roman"/>
          <w:szCs w:val="36"/>
        </w:rPr>
        <w:t>十三五</w:t>
      </w:r>
      <w:r>
        <w:rPr>
          <w:rFonts w:hAnsi="Times New Roman" w:cs="Times New Roman"/>
          <w:szCs w:val="36"/>
        </w:rPr>
        <w:t>”</w:t>
      </w:r>
      <w:r>
        <w:rPr>
          <w:rFonts w:hint="eastAsia" w:hAnsi="Times New Roman" w:cs="Times New Roman"/>
          <w:szCs w:val="36"/>
        </w:rPr>
        <w:t>期间移民后期扶持情况</w:t>
      </w:r>
      <w:bookmarkEnd w:id="27"/>
    </w:p>
    <w:p>
      <w:pPr>
        <w:pStyle w:val="43"/>
        <w:ind w:firstLine="560"/>
        <w:rPr>
          <w:lang w:bidi="en-US"/>
        </w:rPr>
      </w:pPr>
      <w:r>
        <w:rPr>
          <w:rFonts w:hint="eastAsia"/>
          <w:lang w:bidi="en-US"/>
        </w:rPr>
        <w:t>元谋县</w:t>
      </w:r>
      <w:r>
        <w:rPr>
          <w:lang w:bidi="en-US"/>
        </w:rPr>
        <w:t>“</w:t>
      </w:r>
      <w:r>
        <w:rPr>
          <w:rFonts w:hint="eastAsia"/>
          <w:lang w:bidi="en-US"/>
        </w:rPr>
        <w:t>十三五</w:t>
      </w:r>
      <w:r>
        <w:rPr>
          <w:lang w:bidi="en-US"/>
        </w:rPr>
        <w:t>”</w:t>
      </w:r>
      <w:r>
        <w:rPr>
          <w:rFonts w:hint="eastAsia"/>
          <w:lang w:bidi="en-US"/>
        </w:rPr>
        <w:t>期间大中型水库移民后期扶持人口为</w:t>
      </w:r>
      <w:r>
        <w:rPr>
          <w:lang w:bidi="en-US"/>
        </w:rPr>
        <w:t>3434</w:t>
      </w:r>
      <w:r>
        <w:rPr>
          <w:rFonts w:hint="eastAsia"/>
          <w:lang w:bidi="en-US"/>
        </w:rPr>
        <w:t>人，主要为河尾水库、麻柳水库、丙间水库、猛连水库、丙巷河水库、坛罐窑水库移民等。</w:t>
      </w:r>
      <w:r>
        <w:rPr>
          <w:rFonts w:hint="eastAsia"/>
        </w:rPr>
        <w:t>其中，</w:t>
      </w:r>
      <w:r>
        <w:t>2015</w:t>
      </w:r>
      <w:r>
        <w:rPr>
          <w:rFonts w:hint="eastAsia"/>
        </w:rPr>
        <w:t>年基准年移民后期扶持人口为</w:t>
      </w:r>
      <w:r>
        <w:t>3275</w:t>
      </w:r>
      <w:r>
        <w:rPr>
          <w:rFonts w:hint="eastAsia"/>
        </w:rPr>
        <w:t>人，</w:t>
      </w:r>
      <w:r>
        <w:t>2016</w:t>
      </w:r>
      <w:r>
        <w:rPr>
          <w:rFonts w:hint="eastAsia"/>
        </w:rPr>
        <w:t>年新增坛罐窑水库移民人口</w:t>
      </w:r>
      <w:r>
        <w:t>159</w:t>
      </w:r>
      <w:r>
        <w:rPr>
          <w:rFonts w:hint="eastAsia"/>
        </w:rPr>
        <w:t>人</w:t>
      </w:r>
      <w:r>
        <w:rPr>
          <w:rFonts w:hint="eastAsia"/>
          <w:lang w:bidi="en-US"/>
        </w:rPr>
        <w:t>。元谋县后期扶持十三五期间规划、实施了后期扶持基金直接发放，以及移民脱贫解困、移民增收、美丽家园建设项目等。</w:t>
      </w:r>
    </w:p>
    <w:p>
      <w:pPr>
        <w:pStyle w:val="41"/>
      </w:pPr>
      <w:r>
        <w:t>1.3.1</w:t>
      </w:r>
      <w:r>
        <w:rPr>
          <w:rFonts w:hint="eastAsia"/>
        </w:rPr>
        <w:t>　十三五后期扶持规划情况</w:t>
      </w:r>
    </w:p>
    <w:p>
      <w:pPr>
        <w:pStyle w:val="43"/>
        <w:ind w:firstLine="560"/>
        <w:rPr>
          <w:lang w:bidi="en-US"/>
        </w:rPr>
      </w:pPr>
      <w:r>
        <w:rPr>
          <w:rFonts w:hint="eastAsia"/>
          <w:lang w:bidi="en-US"/>
        </w:rPr>
        <w:t>元谋县大中型水库移民后期扶持</w:t>
      </w:r>
      <w:r>
        <w:rPr>
          <w:lang w:bidi="en-US"/>
        </w:rPr>
        <w:t>“</w:t>
      </w:r>
      <w:r>
        <w:rPr>
          <w:rFonts w:hint="eastAsia"/>
          <w:lang w:bidi="en-US"/>
        </w:rPr>
        <w:t>十三五</w:t>
      </w:r>
      <w:r>
        <w:rPr>
          <w:lang w:bidi="en-US"/>
        </w:rPr>
        <w:t>”</w:t>
      </w:r>
      <w:r>
        <w:rPr>
          <w:rFonts w:hint="eastAsia"/>
          <w:lang w:bidi="en-US"/>
        </w:rPr>
        <w:t>规划总投资2426.26万元，其中发放直补资金共</w:t>
      </w:r>
      <w:r>
        <w:rPr>
          <w:lang w:bidi="en-US"/>
        </w:rPr>
        <w:t>1020.66</w:t>
      </w:r>
      <w:r>
        <w:rPr>
          <w:rFonts w:hint="eastAsia"/>
          <w:lang w:bidi="en-US"/>
        </w:rPr>
        <w:t>万元、规划22个项目、投资1405.60万元。</w:t>
      </w:r>
      <w:r>
        <w:rPr>
          <w:lang w:bidi="en-US"/>
        </w:rPr>
        <w:t>规划项目投资具体情况为：</w:t>
      </w:r>
      <w:r>
        <w:rPr>
          <w:rFonts w:hint="eastAsia" w:ascii="宋体" w:hAnsi="宋体" w:eastAsia="宋体" w:cs="宋体"/>
          <w:lang w:bidi="en-US"/>
        </w:rPr>
        <w:t>①</w:t>
      </w:r>
      <w:r>
        <w:rPr>
          <w:lang w:bidi="en-US"/>
        </w:rPr>
        <w:t>移民脱贫解困生产规划项目</w:t>
      </w:r>
      <w:r>
        <w:rPr>
          <w:rFonts w:hint="eastAsia"/>
          <w:lang w:bidi="en-US"/>
        </w:rPr>
        <w:t>5</w:t>
      </w:r>
      <w:r>
        <w:rPr>
          <w:lang w:bidi="en-US"/>
        </w:rPr>
        <w:t>个，规划投资</w:t>
      </w:r>
      <w:r>
        <w:rPr>
          <w:rFonts w:hint="eastAsia"/>
          <w:lang w:bidi="en-US"/>
        </w:rPr>
        <w:t>170.00</w:t>
      </w:r>
      <w:r>
        <w:rPr>
          <w:lang w:bidi="en-US"/>
        </w:rPr>
        <w:t>万元；</w:t>
      </w:r>
      <w:r>
        <w:rPr>
          <w:rFonts w:hint="eastAsia" w:ascii="宋体" w:hAnsi="宋体" w:eastAsia="宋体" w:cs="宋体"/>
          <w:lang w:bidi="en-US"/>
        </w:rPr>
        <w:t>②</w:t>
      </w:r>
      <w:r>
        <w:rPr>
          <w:lang w:bidi="en-US"/>
        </w:rPr>
        <w:t>移民增收规划项目共</w:t>
      </w:r>
      <w:r>
        <w:rPr>
          <w:rFonts w:hint="eastAsia"/>
          <w:lang w:bidi="en-US"/>
        </w:rPr>
        <w:t>8</w:t>
      </w:r>
      <w:r>
        <w:rPr>
          <w:lang w:bidi="en-US"/>
        </w:rPr>
        <w:t>个，规划投资</w:t>
      </w:r>
      <w:r>
        <w:rPr>
          <w:rFonts w:hint="eastAsia"/>
          <w:lang w:bidi="en-US"/>
        </w:rPr>
        <w:t>872.6</w:t>
      </w:r>
      <w:r>
        <w:rPr>
          <w:lang w:bidi="en-US"/>
        </w:rPr>
        <w:t>万元；</w:t>
      </w:r>
      <w:r>
        <w:rPr>
          <w:rFonts w:hint="eastAsia" w:ascii="宋体" w:hAnsi="宋体" w:eastAsia="宋体" w:cs="宋体"/>
          <w:lang w:bidi="en-US"/>
        </w:rPr>
        <w:t>③</w:t>
      </w:r>
      <w:r>
        <w:rPr>
          <w:lang w:bidi="en-US"/>
        </w:rPr>
        <w:t>美丽家园建设规划项目共</w:t>
      </w:r>
      <w:r>
        <w:rPr>
          <w:rFonts w:hint="eastAsia"/>
          <w:lang w:bidi="en-US"/>
        </w:rPr>
        <w:t>9</w:t>
      </w:r>
      <w:r>
        <w:rPr>
          <w:lang w:bidi="en-US"/>
        </w:rPr>
        <w:t>个，总投资</w:t>
      </w:r>
      <w:r>
        <w:rPr>
          <w:rFonts w:hint="eastAsia"/>
          <w:lang w:bidi="en-US"/>
        </w:rPr>
        <w:t>363.00</w:t>
      </w:r>
      <w:r>
        <w:rPr>
          <w:lang w:bidi="en-US"/>
        </w:rPr>
        <w:t>万元。</w:t>
      </w:r>
    </w:p>
    <w:p>
      <w:pPr>
        <w:pStyle w:val="41"/>
      </w:pPr>
      <w:r>
        <w:t>1.3.2</w:t>
      </w:r>
      <w:r>
        <w:rPr>
          <w:rFonts w:hint="eastAsia"/>
        </w:rPr>
        <w:t>　后期项目完成情况</w:t>
      </w:r>
    </w:p>
    <w:p>
      <w:pPr>
        <w:pStyle w:val="54"/>
        <w:ind w:firstLine="560"/>
      </w:pPr>
      <w:r>
        <w:rPr>
          <w:rFonts w:hint="eastAsia"/>
        </w:rPr>
        <w:t>（</w:t>
      </w:r>
      <w:r>
        <w:t>1</w:t>
      </w:r>
      <w:r>
        <w:rPr>
          <w:rFonts w:hint="eastAsia"/>
        </w:rPr>
        <w:t>）直补资金发放</w:t>
      </w:r>
    </w:p>
    <w:p>
      <w:pPr>
        <w:pStyle w:val="43"/>
        <w:ind w:firstLine="560"/>
      </w:pPr>
      <w:r>
        <w:rPr>
          <w:rFonts w:hint="eastAsia"/>
        </w:rPr>
        <w:t>按照国务院关于完善大中型水库移民后期扶持政策的意见</w:t>
      </w:r>
      <w:r>
        <w:rPr>
          <w:rFonts w:hint="eastAsia" w:eastAsia="宋体"/>
        </w:rPr>
        <w:t>﹙</w:t>
      </w:r>
      <w:r>
        <w:rPr>
          <w:rFonts w:hint="eastAsia"/>
        </w:rPr>
        <w:t>国发</w:t>
      </w:r>
      <w:r>
        <w:rPr>
          <w:rFonts w:hint="eastAsia" w:eastAsia="宋体"/>
        </w:rPr>
        <w:t>﹝</w:t>
      </w:r>
      <w:r>
        <w:t>2006</w:t>
      </w:r>
      <w:r>
        <w:rPr>
          <w:rFonts w:hint="eastAsia" w:eastAsia="宋体"/>
        </w:rPr>
        <w:t>﹞</w:t>
      </w:r>
      <w:r>
        <w:t>17</w:t>
      </w:r>
      <w:r>
        <w:rPr>
          <w:rFonts w:hint="eastAsia"/>
        </w:rPr>
        <w:t>号</w:t>
      </w:r>
      <w:r>
        <w:rPr>
          <w:rFonts w:hint="eastAsia" w:eastAsia="宋体"/>
        </w:rPr>
        <w:t>﹚</w:t>
      </w:r>
      <w:r>
        <w:rPr>
          <w:rFonts w:hint="eastAsia"/>
        </w:rPr>
        <w:t>，每人每年需发放移民后期扶持资金</w:t>
      </w:r>
      <w:r>
        <w:t>600</w:t>
      </w:r>
      <w:r>
        <w:rPr>
          <w:rFonts w:hint="eastAsia"/>
        </w:rPr>
        <w:t>元。对</w:t>
      </w:r>
      <w:r>
        <w:t>2006</w:t>
      </w:r>
      <w:r>
        <w:rPr>
          <w:rFonts w:hint="eastAsia"/>
        </w:rPr>
        <w:t>年</w:t>
      </w:r>
      <w:r>
        <w:t>6</w:t>
      </w:r>
      <w:r>
        <w:rPr>
          <w:rFonts w:hint="eastAsia"/>
        </w:rPr>
        <w:t>月</w:t>
      </w:r>
      <w:r>
        <w:t>30</w:t>
      </w:r>
      <w:r>
        <w:rPr>
          <w:rFonts w:hint="eastAsia"/>
        </w:rPr>
        <w:t>日前搬迁的纳入扶持范围的移民，发放时间从</w:t>
      </w:r>
      <w:r>
        <w:t>2006</w:t>
      </w:r>
      <w:r>
        <w:rPr>
          <w:rFonts w:hint="eastAsia"/>
        </w:rPr>
        <w:t>年</w:t>
      </w:r>
      <w:r>
        <w:t>7</w:t>
      </w:r>
      <w:r>
        <w:rPr>
          <w:rFonts w:hint="eastAsia"/>
        </w:rPr>
        <w:t>月</w:t>
      </w:r>
      <w:r>
        <w:t>1</w:t>
      </w:r>
      <w:r>
        <w:rPr>
          <w:rFonts w:hint="eastAsia"/>
        </w:rPr>
        <w:t>日起开始，期限</w:t>
      </w:r>
      <w:r>
        <w:t>20</w:t>
      </w:r>
      <w:r>
        <w:rPr>
          <w:rFonts w:hint="eastAsia"/>
        </w:rPr>
        <w:t>年；对</w:t>
      </w:r>
      <w:r>
        <w:t>2006</w:t>
      </w:r>
      <w:r>
        <w:rPr>
          <w:rFonts w:hint="eastAsia"/>
        </w:rPr>
        <w:t>年</w:t>
      </w:r>
      <w:r>
        <w:t>7</w:t>
      </w:r>
      <w:r>
        <w:rPr>
          <w:rFonts w:hint="eastAsia"/>
        </w:rPr>
        <w:t>月</w:t>
      </w:r>
      <w:r>
        <w:t>1</w:t>
      </w:r>
      <w:r>
        <w:rPr>
          <w:rFonts w:hint="eastAsia"/>
        </w:rPr>
        <w:t>日以后搬迁的纳入扶持范围的移民，从其完成搬迁之日起扶持</w:t>
      </w:r>
      <w:r>
        <w:t>20</w:t>
      </w:r>
      <w:r>
        <w:rPr>
          <w:rFonts w:hint="eastAsia"/>
        </w:rPr>
        <w:t>年。</w:t>
      </w:r>
    </w:p>
    <w:p>
      <w:pPr>
        <w:pStyle w:val="43"/>
        <w:ind w:firstLine="560"/>
      </w:pPr>
      <w:r>
        <w:rPr>
          <w:rFonts w:hint="eastAsia"/>
        </w:rPr>
        <w:t>移民直补资金兑现标准为每人每年</w:t>
      </w:r>
      <w:r>
        <w:t>600</w:t>
      </w:r>
      <w:r>
        <w:rPr>
          <w:rFonts w:hint="eastAsia"/>
        </w:rPr>
        <w:t>元，兑现采用按一人一折（卡）的方式进行，县财政部门每年按季度将移民后期扶持直补资金及时足额兑现到移民个人存折（卡）上。</w:t>
      </w:r>
    </w:p>
    <w:p>
      <w:pPr>
        <w:pStyle w:val="43"/>
        <w:ind w:firstLine="560"/>
      </w:pPr>
      <w:r>
        <w:rPr>
          <w:rFonts w:hint="eastAsia"/>
          <w:lang w:bidi="en-US"/>
        </w:rPr>
        <w:t>“十三五”规划估算直补资金1020.66万元，到位资金1020.66万元。实际发放直补资金906.60万元，其中2016</w:t>
      </w:r>
      <w:r>
        <w:rPr>
          <w:rFonts w:hint="eastAsia"/>
        </w:rPr>
        <w:t>年发放金额176.34万元，</w:t>
      </w:r>
      <w:r>
        <w:rPr>
          <w:rFonts w:hint="eastAsia"/>
          <w:lang w:bidi="en-US"/>
        </w:rPr>
        <w:t>2017</w:t>
      </w:r>
      <w:r>
        <w:rPr>
          <w:rFonts w:hint="eastAsia"/>
        </w:rPr>
        <w:t>年发放金额184.80万元，</w:t>
      </w:r>
      <w:r>
        <w:rPr>
          <w:rFonts w:hint="eastAsia"/>
          <w:lang w:bidi="en-US"/>
        </w:rPr>
        <w:t>2018</w:t>
      </w:r>
      <w:r>
        <w:rPr>
          <w:rFonts w:hint="eastAsia"/>
        </w:rPr>
        <w:t>年发放金额183.42万元，</w:t>
      </w:r>
      <w:r>
        <w:rPr>
          <w:rFonts w:hint="eastAsia"/>
          <w:lang w:bidi="en-US"/>
        </w:rPr>
        <w:t>2019</w:t>
      </w:r>
      <w:r>
        <w:rPr>
          <w:rFonts w:hint="eastAsia"/>
        </w:rPr>
        <w:t>年发放金额181.80万元，</w:t>
      </w:r>
      <w:r>
        <w:rPr>
          <w:rFonts w:hint="eastAsia"/>
          <w:lang w:bidi="en-US"/>
        </w:rPr>
        <w:t>2020</w:t>
      </w:r>
      <w:r>
        <w:rPr>
          <w:rFonts w:hint="eastAsia"/>
        </w:rPr>
        <w:t>年发放金额180.24万元。</w:t>
      </w:r>
    </w:p>
    <w:p>
      <w:pPr>
        <w:pStyle w:val="43"/>
        <w:ind w:firstLine="560"/>
      </w:pPr>
      <w:r>
        <w:rPr>
          <w:rFonts w:hint="eastAsia"/>
        </w:rPr>
        <w:t>直补资金结余114.06万元。其中用于元马镇乐甫村太阳能光伏项目</w:t>
      </w:r>
      <w:r>
        <w:t>64.00万元</w:t>
      </w:r>
      <w:r>
        <w:rPr>
          <w:rFonts w:hint="eastAsia"/>
        </w:rPr>
        <w:t>，</w:t>
      </w:r>
      <w:r>
        <w:t>坛罐窑水库淹没区收尾工程项目11万元</w:t>
      </w:r>
      <w:r>
        <w:rPr>
          <w:rFonts w:hint="eastAsia"/>
        </w:rPr>
        <w:t>，</w:t>
      </w:r>
      <w:r>
        <w:t>黄瓜园镇牛街村委会世辉村活动场所建设项目13.26万元</w:t>
      </w:r>
      <w:r>
        <w:rPr>
          <w:rFonts w:hint="eastAsia"/>
        </w:rPr>
        <w:t>，</w:t>
      </w:r>
      <w:r>
        <w:t>老城乡老城村委会公路梁子美丽家园建设25.8万元</w:t>
      </w:r>
      <w:r>
        <w:rPr>
          <w:rFonts w:hint="eastAsia"/>
        </w:rPr>
        <w:t>。</w:t>
      </w:r>
    </w:p>
    <w:p>
      <w:pPr>
        <w:pStyle w:val="54"/>
        <w:ind w:firstLine="560"/>
      </w:pPr>
      <w:r>
        <w:rPr>
          <w:rFonts w:hint="eastAsia"/>
        </w:rPr>
        <w:t>（</w:t>
      </w:r>
      <w:r>
        <w:t>2</w:t>
      </w:r>
      <w:r>
        <w:rPr>
          <w:rFonts w:hint="eastAsia"/>
        </w:rPr>
        <w:t>）移民脱贫解困规划项目</w:t>
      </w:r>
    </w:p>
    <w:p>
      <w:pPr>
        <w:pStyle w:val="43"/>
        <w:ind w:firstLine="560"/>
        <w:rPr>
          <w:lang w:bidi="en-US"/>
        </w:rPr>
      </w:pPr>
      <w:r>
        <w:rPr>
          <w:rFonts w:hint="eastAsia"/>
          <w:lang w:bidi="en-US"/>
        </w:rPr>
        <w:t>移民脱贫解困项目完成5个，投资完成率100%。通过产业扶持种植业、养殖业项目，基础设施、乡村环境治理和扶贫济困项目，达到脱贫率100%。</w:t>
      </w:r>
    </w:p>
    <w:p>
      <w:pPr>
        <w:pStyle w:val="54"/>
        <w:ind w:firstLine="560"/>
      </w:pPr>
      <w:r>
        <w:rPr>
          <w:rFonts w:hint="eastAsia"/>
        </w:rPr>
        <w:t>（</w:t>
      </w:r>
      <w:r>
        <w:t>3</w:t>
      </w:r>
      <w:r>
        <w:rPr>
          <w:rFonts w:hint="eastAsia"/>
        </w:rPr>
        <w:t>）移民增收规划项目</w:t>
      </w:r>
    </w:p>
    <w:p>
      <w:pPr>
        <w:pStyle w:val="43"/>
        <w:ind w:firstLine="560"/>
        <w:rPr>
          <w:lang w:bidi="en-US"/>
        </w:rPr>
      </w:pPr>
      <w:r>
        <w:rPr>
          <w:rFonts w:hint="eastAsia"/>
          <w:lang w:bidi="en-US"/>
        </w:rPr>
        <w:t>移民增收项目完成8个，投资完成率87.62%。其中元谋县乌东德水电站移民贷款贴息项目规划600万元、计划贷款2000户，实际完成</w:t>
      </w:r>
      <w:r>
        <w:rPr>
          <w:lang w:bidi="en-US"/>
        </w:rPr>
        <w:t>492万元</w:t>
      </w:r>
      <w:r>
        <w:rPr>
          <w:rFonts w:hint="eastAsia"/>
          <w:lang w:bidi="en-US"/>
        </w:rPr>
        <w:t>、</w:t>
      </w:r>
      <w:r>
        <w:rPr>
          <w:lang w:bidi="en-US"/>
        </w:rPr>
        <w:t>发放成功</w:t>
      </w:r>
      <w:r>
        <w:rPr>
          <w:rFonts w:hint="eastAsia"/>
          <w:lang w:bidi="en-US"/>
        </w:rPr>
        <w:t>1600户。种植业加养殖业等产业扶持带动，移民家庭经济收入水平提高。</w:t>
      </w:r>
    </w:p>
    <w:p>
      <w:pPr>
        <w:pStyle w:val="54"/>
        <w:ind w:firstLine="560"/>
      </w:pPr>
      <w:r>
        <w:rPr>
          <w:rFonts w:hint="eastAsia"/>
        </w:rPr>
        <w:t>（</w:t>
      </w:r>
      <w:r>
        <w:t>4</w:t>
      </w:r>
      <w:r>
        <w:rPr>
          <w:rFonts w:hint="eastAsia"/>
        </w:rPr>
        <w:t>）美丽家园建设规划项目</w:t>
      </w:r>
    </w:p>
    <w:p>
      <w:pPr>
        <w:pStyle w:val="43"/>
        <w:ind w:firstLine="560"/>
        <w:rPr>
          <w:lang w:bidi="en-US"/>
        </w:rPr>
      </w:pPr>
      <w:r>
        <w:rPr>
          <w:rFonts w:hint="eastAsia"/>
          <w:lang w:bidi="en-US"/>
        </w:rPr>
        <w:t>美丽家园建设规划项目完成9个，投资完成率100%。其中道路交通项目4处，完成道路路面硬化、大小乌头禾小桥建设、那控村进村道路建设、大法旦村田间路渠工程等；建成文化室2座；解决饮水安全3处。</w:t>
      </w:r>
    </w:p>
    <w:p>
      <w:pPr>
        <w:pStyle w:val="41"/>
      </w:pPr>
      <w:r>
        <w:t>1.3.3</w:t>
      </w:r>
      <w:r>
        <w:rPr>
          <w:rFonts w:hint="eastAsia"/>
        </w:rPr>
        <w:t>　总体效果评价</w:t>
      </w:r>
    </w:p>
    <w:p>
      <w:pPr>
        <w:pStyle w:val="43"/>
        <w:ind w:firstLine="560"/>
        <w:rPr>
          <w:lang w:bidi="en-US"/>
        </w:rPr>
      </w:pPr>
      <w:r>
        <w:rPr>
          <w:lang w:bidi="en-US"/>
        </w:rPr>
        <w:t>元谋县移民搬迁安置办公室主要承担元谋县境内大中型水利水电工程及重点工程移民安置的开发、协调、管理等工作。在</w:t>
      </w:r>
      <w:r>
        <w:rPr>
          <w:rFonts w:hint="eastAsia"/>
          <w:lang w:bidi="en-US"/>
        </w:rPr>
        <w:t>“十三五”移民后期扶持项目实施过程</w:t>
      </w:r>
      <w:r>
        <w:rPr>
          <w:lang w:bidi="en-US"/>
        </w:rPr>
        <w:t>中，</w:t>
      </w:r>
      <w:r>
        <w:rPr>
          <w:rFonts w:hint="eastAsia"/>
          <w:lang w:bidi="en-US"/>
        </w:rPr>
        <w:t>地方</w:t>
      </w:r>
      <w:r>
        <w:rPr>
          <w:lang w:bidi="en-US"/>
        </w:rPr>
        <w:t>注重提升服务质量，实行领导挂钩联系重点项目建设制度，解决</w:t>
      </w:r>
      <w:r>
        <w:rPr>
          <w:rFonts w:hint="eastAsia"/>
          <w:lang w:bidi="en-US"/>
        </w:rPr>
        <w:t>“</w:t>
      </w:r>
      <w:r>
        <w:rPr>
          <w:lang w:bidi="en-US"/>
        </w:rPr>
        <w:t>项目落地难</w:t>
      </w:r>
      <w:r>
        <w:rPr>
          <w:rFonts w:hint="eastAsia"/>
          <w:lang w:bidi="en-US"/>
        </w:rPr>
        <w:t>”</w:t>
      </w:r>
      <w:r>
        <w:rPr>
          <w:lang w:bidi="en-US"/>
        </w:rPr>
        <w:t>问题。采取“一名领导主抓、一班人马负责、一套方案推进”的办法，每个项目由一名领导挂帅、一个股室负责，抓项目建设落实。形成了</w:t>
      </w:r>
      <w:r>
        <w:rPr>
          <w:rFonts w:hint="eastAsia"/>
          <w:lang w:bidi="en-US"/>
        </w:rPr>
        <w:t>“</w:t>
      </w:r>
      <w:r>
        <w:rPr>
          <w:lang w:bidi="en-US"/>
        </w:rPr>
        <w:t>领导重视，思想统一</w:t>
      </w:r>
      <w:r>
        <w:rPr>
          <w:rFonts w:hint="eastAsia"/>
          <w:lang w:bidi="en-US"/>
        </w:rPr>
        <w:t>”</w:t>
      </w:r>
      <w:r>
        <w:rPr>
          <w:lang w:bidi="en-US"/>
        </w:rPr>
        <w:t>；组织到位，靠前指挥；上下一心，执行有力；纪律严明，作风扎实；发动群众，和谐移民</w:t>
      </w:r>
      <w:r>
        <w:rPr>
          <w:rFonts w:hint="eastAsia"/>
          <w:lang w:bidi="en-US"/>
        </w:rPr>
        <w:t>”的“元谋工作模式”，获得各方高度评价，在库区广大移民群众中赢得了良好口碑。</w:t>
      </w:r>
    </w:p>
    <w:p>
      <w:pPr>
        <w:pStyle w:val="5"/>
      </w:pPr>
      <w:r>
        <w:t>1.3.3.1</w:t>
      </w:r>
      <w:r>
        <w:rPr>
          <w:rFonts w:hint="eastAsia"/>
        </w:rPr>
        <w:t>　移民群众增收情况</w:t>
      </w:r>
    </w:p>
    <w:p>
      <w:pPr>
        <w:pStyle w:val="43"/>
        <w:ind w:firstLine="560"/>
      </w:pPr>
      <w:r>
        <w:rPr>
          <w:rFonts w:hint="eastAsia"/>
        </w:rPr>
        <w:t>通过“十三五”规划的实施，元谋县大中型水库库区移民年均纯收入实现快速增长，移民生活水平明显提高。截至</w:t>
      </w:r>
      <w:r>
        <w:t>2020</w:t>
      </w:r>
      <w:r>
        <w:rPr>
          <w:rFonts w:hint="eastAsia"/>
        </w:rPr>
        <w:t>年底</w:t>
      </w:r>
      <w:r>
        <w:t>，移民从事二、三产业所获得的收入，加上后期扶持直补资金每年每人600元的发放，移民人均纯收入为1</w:t>
      </w:r>
      <w:r>
        <w:rPr>
          <w:rFonts w:hint="eastAsia"/>
        </w:rPr>
        <w:t>1853.2元</w:t>
      </w:r>
      <w:r>
        <w:t>。</w:t>
      </w:r>
    </w:p>
    <w:p>
      <w:pPr>
        <w:pStyle w:val="5"/>
      </w:pPr>
      <w:r>
        <w:t>1.3.3.2</w:t>
      </w:r>
      <w:r>
        <w:rPr>
          <w:rFonts w:hint="eastAsia"/>
        </w:rPr>
        <w:t>　移民生活水平变化</w:t>
      </w:r>
    </w:p>
    <w:p>
      <w:pPr>
        <w:pStyle w:val="43"/>
        <w:ind w:firstLine="560"/>
        <w:rPr>
          <w:lang w:bidi="en-US"/>
        </w:rPr>
      </w:pPr>
      <w:r>
        <w:rPr>
          <w:rFonts w:hint="eastAsia"/>
          <w:lang w:bidi="en-US"/>
        </w:rPr>
        <w:t>通过产业扶持项目的实施，村民的基础设施将进一步完善，村民们有了更多的资金投入生产，生产生活条件得以改善，缓解了经济压力，为库区和移民安置区群众的经济发展和村民生活水平的提高奠定坚实基础。</w:t>
      </w:r>
    </w:p>
    <w:p>
      <w:pPr>
        <w:pStyle w:val="43"/>
        <w:ind w:firstLine="560"/>
        <w:rPr>
          <w:bCs/>
          <w:lang w:bidi="en-US"/>
        </w:rPr>
      </w:pPr>
      <w:r>
        <w:rPr>
          <w:rFonts w:hint="eastAsia"/>
          <w:lang w:bidi="en-US"/>
        </w:rPr>
        <w:t>一、有效改善人民群众的人居生活水平，保证农民早安居早乐业；二、促进城乡环境整治，加快社会主义新农村建设，真正缩小城乡差别；三、方便群众交流与沟通，方便群众教育管理，有利于社会的和谐与稳定，有利于经济社会的可持续发展；四、通过大力发展产业使人民群众增收致富，特别是元马镇乐甫村太阳能光伏项目，充分利用太阳能进行发电，发电过程不消耗任何化石能源，也不排放任何废气，带动移民安置区新技术和新品种的推广应用，推动移民区产业结构调整步伐，增加农民收入，促进农村经济可持续发展，全部收益作为村集体经济收入，即解决了村集体空壳问题，又为建档立卡贫困户增加收入，形成全村经济增收的造血功能，从根本上改善了贫困村的生活水平。使受益区移民感受到政府对他们的支持，党对他们的关怀，达到稳定人心、稳定社会、发展经济促进精神文明建设，凝聚移民群众的向心力，从而改善生态环境和社会环境，对于促进社会经济的稳定健康发展具有非常重大意义；五、通过对乌东德水电站</w:t>
      </w:r>
      <w:r>
        <w:rPr>
          <w:lang w:bidi="en-US"/>
        </w:rPr>
        <w:t>1600</w:t>
      </w:r>
      <w:r>
        <w:rPr>
          <w:rFonts w:hint="eastAsia"/>
          <w:lang w:bidi="en-US"/>
        </w:rPr>
        <w:t>户移民进行小额贷款贴息，减轻了移民建房及产业发展压力，多方筹集资金，加快民房实施进度，按时完成移民搬迁安置，确保乌东德水电站按照时间节点下闸蓄水目标。</w:t>
      </w:r>
      <w:r>
        <w:rPr>
          <w:lang w:bidi="en-US"/>
        </w:rPr>
        <w:t>同时</w:t>
      </w:r>
      <w:r>
        <w:rPr>
          <w:rFonts w:hint="eastAsia"/>
          <w:lang w:bidi="en-US"/>
        </w:rPr>
        <w:t>，贷款发展经济林果，增加经济收入，促进库区和移民安置区社会稳定，使项目区移民的生产水平得到大幅度提升，生活质量显著改观，进而全面提升项目区的社会发展水平，为即将打造的江边集镇</w:t>
      </w:r>
      <w:r>
        <w:rPr>
          <w:lang w:bidi="en-US"/>
        </w:rPr>
        <w:t>“</w:t>
      </w:r>
      <w:r>
        <w:rPr>
          <w:rFonts w:hint="eastAsia"/>
          <w:lang w:bidi="en-US"/>
        </w:rPr>
        <w:t>金沙湖旅游度假区</w:t>
      </w:r>
      <w:r>
        <w:rPr>
          <w:lang w:bidi="en-US"/>
        </w:rPr>
        <w:t>”</w:t>
      </w:r>
      <w:r>
        <w:rPr>
          <w:rFonts w:hint="eastAsia"/>
          <w:lang w:bidi="en-US"/>
        </w:rPr>
        <w:t>、瓦渣箐安置点</w:t>
      </w:r>
      <w:r>
        <w:rPr>
          <w:lang w:bidi="en-US"/>
        </w:rPr>
        <w:t>“</w:t>
      </w:r>
      <w:r>
        <w:rPr>
          <w:rFonts w:hint="eastAsia"/>
          <w:lang w:bidi="en-US"/>
        </w:rPr>
        <w:t>彝人花海</w:t>
      </w:r>
      <w:r>
        <w:rPr>
          <w:lang w:bidi="en-US"/>
        </w:rPr>
        <w:t>”</w:t>
      </w:r>
      <w:r>
        <w:rPr>
          <w:rFonts w:hint="eastAsia"/>
          <w:lang w:bidi="en-US"/>
        </w:rPr>
        <w:t>、甘塘安置点的</w:t>
      </w:r>
      <w:r>
        <w:rPr>
          <w:lang w:bidi="en-US"/>
        </w:rPr>
        <w:t>“</w:t>
      </w:r>
      <w:r>
        <w:rPr>
          <w:rFonts w:hint="eastAsia"/>
          <w:lang w:bidi="en-US"/>
        </w:rPr>
        <w:t>元谋傈僳族第一村</w:t>
      </w:r>
      <w:r>
        <w:rPr>
          <w:lang w:bidi="en-US"/>
        </w:rPr>
        <w:t>”</w:t>
      </w:r>
      <w:r>
        <w:rPr>
          <w:rFonts w:hint="eastAsia"/>
          <w:lang w:bidi="en-US"/>
        </w:rPr>
        <w:t>奠定了坚实的基础。</w:t>
      </w:r>
    </w:p>
    <w:p>
      <w:pPr>
        <w:pStyle w:val="5"/>
      </w:pPr>
      <w:r>
        <w:t>1.3.3.3</w:t>
      </w:r>
      <w:r>
        <w:rPr>
          <w:rFonts w:hint="eastAsia"/>
        </w:rPr>
        <w:t>　库区和移民安置区社会稳定情况</w:t>
      </w:r>
    </w:p>
    <w:p>
      <w:pPr>
        <w:pStyle w:val="43"/>
        <w:ind w:firstLine="560"/>
        <w:rPr>
          <w:lang w:bidi="en-US"/>
        </w:rPr>
      </w:pPr>
      <w:r>
        <w:rPr>
          <w:rFonts w:hint="eastAsia"/>
          <w:lang w:bidi="en-US"/>
        </w:rPr>
        <w:t>根据元谋县十三五期间</w:t>
      </w:r>
      <w:r>
        <w:rPr>
          <w:lang w:bidi="en-US"/>
        </w:rPr>
        <w:t>信访维稳情况，近年来随着后期扶持项目的逐步实施，移民群众来信来访和越级上访人次正逐年下降，一些重点疑难信访得到有效化解，信访综治维稳工作成效显著。在移民比较集中的村建立了信访联络员机制，明确专人负责联系移民信访和政策宣传工作及相关业务的对接办理。</w:t>
      </w:r>
    </w:p>
    <w:p>
      <w:pPr>
        <w:pStyle w:val="41"/>
      </w:pPr>
      <w:r>
        <w:t>1.3.4</w:t>
      </w:r>
      <w:r>
        <w:rPr>
          <w:rFonts w:hint="eastAsia"/>
        </w:rPr>
        <w:t>　存在的主要问题</w:t>
      </w:r>
    </w:p>
    <w:p>
      <w:pPr>
        <w:pStyle w:val="5"/>
      </w:pPr>
      <w:r>
        <w:t>1.3.4.1</w:t>
      </w:r>
      <w:r>
        <w:rPr>
          <w:rFonts w:hint="eastAsia"/>
        </w:rPr>
        <w:t>　后期扶持项目实施管理</w:t>
      </w:r>
    </w:p>
    <w:p>
      <w:pPr>
        <w:pStyle w:val="43"/>
        <w:ind w:firstLine="560"/>
      </w:pPr>
      <w:r>
        <w:rPr>
          <w:rFonts w:hint="eastAsia"/>
        </w:rPr>
        <w:t>结合后期扶持项目实施管理情况，项目实施过程中，由于地方财政资金周转困难、施工单位提供竣工结算资料不及时、项目结算审计滞后等原因，导致工程款没有按要求完全拨付到位，存在资金拨付不及时的问题。</w:t>
      </w:r>
    </w:p>
    <w:p>
      <w:pPr>
        <w:pStyle w:val="5"/>
      </w:pPr>
      <w:r>
        <w:t>1.3.4.2</w:t>
      </w:r>
      <w:r>
        <w:rPr>
          <w:rFonts w:hint="eastAsia"/>
        </w:rPr>
        <w:t>　移民生产生活扶持</w:t>
      </w:r>
    </w:p>
    <w:p>
      <w:pPr>
        <w:pStyle w:val="43"/>
        <w:ind w:firstLine="560"/>
        <w:rPr>
          <w:kern w:val="0"/>
          <w:szCs w:val="24"/>
          <w:lang w:bidi="en-US"/>
        </w:rPr>
      </w:pPr>
      <w:r>
        <w:rPr>
          <w:rFonts w:hint="eastAsia"/>
        </w:rPr>
        <w:t>元谋县区位优势和环境优势明显，尤其是在水库移民集中安置区域，青山绿水相互辉映、交通便利，但目前二、三产业模式略单一，当前元谋县产业开发中所面临的突出矛盾和新问题是产业开发效益发挥的现状与移民群众的期望不相协调；农业特色产业的规模和效益还不够好，旅游、物流等产业发展速度还不够快，经济结构调整的任务还相当艰巨。</w:t>
      </w:r>
    </w:p>
    <w:p>
      <w:pPr>
        <w:pStyle w:val="5"/>
      </w:pPr>
      <w:r>
        <w:t>1.3.4.3</w:t>
      </w:r>
      <w:r>
        <w:rPr>
          <w:rFonts w:hint="eastAsia"/>
        </w:rPr>
        <w:t>　搬迁安置管理机构和队伍建设</w:t>
      </w:r>
    </w:p>
    <w:p>
      <w:pPr>
        <w:pStyle w:val="43"/>
        <w:ind w:firstLine="560"/>
        <w:rPr>
          <w:lang w:bidi="en-US"/>
        </w:rPr>
      </w:pPr>
      <w:r>
        <w:rPr>
          <w:rFonts w:hint="eastAsia"/>
          <w:lang w:bidi="en-US"/>
        </w:rPr>
        <w:t>元谋县搬迁安置办公室后期扶持股现有专业技术人员3人，</w:t>
      </w:r>
      <w:r>
        <w:rPr>
          <w:lang w:bidi="en-US"/>
        </w:rPr>
        <w:t>后期扶持人力资源相对薄弱；部分乡镇无移民管理干部及技术人员，部分乡镇设置了移民办，但需身兼数职，导致工作精力分散，后扶项目过程管理资料收集困难，工作难以按照进度计划落实。</w:t>
      </w:r>
    </w:p>
    <w:p>
      <w:pPr>
        <w:pStyle w:val="3"/>
        <w:rPr>
          <w:rFonts w:hAnsi="Times New Roman" w:cs="Times New Roman"/>
          <w:szCs w:val="36"/>
        </w:rPr>
      </w:pPr>
      <w:bookmarkStart w:id="28" w:name="_Toc86914812"/>
      <w:r>
        <w:rPr>
          <w:rFonts w:hAnsi="Times New Roman" w:cs="Times New Roman"/>
          <w:szCs w:val="36"/>
        </w:rPr>
        <w:t>1.4</w:t>
      </w:r>
      <w:r>
        <w:rPr>
          <w:rFonts w:hint="eastAsia" w:hAnsi="Times New Roman" w:cs="Times New Roman"/>
          <w:szCs w:val="36"/>
        </w:rPr>
        <w:t>　</w:t>
      </w:r>
      <w:r>
        <w:rPr>
          <w:rFonts w:hAnsi="Times New Roman" w:cs="Times New Roman"/>
          <w:szCs w:val="36"/>
        </w:rPr>
        <w:t>“</w:t>
      </w:r>
      <w:r>
        <w:rPr>
          <w:rFonts w:hint="eastAsia" w:hAnsi="Times New Roman" w:cs="Times New Roman"/>
          <w:szCs w:val="36"/>
        </w:rPr>
        <w:t>十四五</w:t>
      </w:r>
      <w:r>
        <w:rPr>
          <w:rFonts w:hAnsi="Times New Roman" w:cs="Times New Roman"/>
          <w:szCs w:val="36"/>
        </w:rPr>
        <w:t>”</w:t>
      </w:r>
      <w:r>
        <w:rPr>
          <w:rFonts w:hint="eastAsia" w:hAnsi="Times New Roman" w:cs="Times New Roman"/>
          <w:szCs w:val="36"/>
        </w:rPr>
        <w:t>水库移民工作面临的形势分析</w:t>
      </w:r>
      <w:bookmarkEnd w:id="28"/>
    </w:p>
    <w:p>
      <w:pPr>
        <w:pStyle w:val="43"/>
        <w:ind w:firstLine="560"/>
        <w:rPr>
          <w:lang w:bidi="en-US"/>
        </w:rPr>
      </w:pPr>
      <w:r>
        <w:rPr>
          <w:rFonts w:hint="eastAsia"/>
          <w:lang w:bidi="en-US"/>
        </w:rPr>
        <w:t>便捷的交通区位优势，使元谋参与长江经济带、云南省金沙江对内开放合作经济带、滇中城市经济圈建设，积极主动承担元谋在滇中北部的枢纽功能，在滇中乃至全省范围聚集要素、配置资源，发展开放型经济的条件更加优越。依托立体综合交通融入成渝、长三角、珠三角经济区乃至向沿海开发合作，主动承接产业转移，拓展发展空间，培育产业集群。</w:t>
      </w:r>
    </w:p>
    <w:p>
      <w:pPr>
        <w:pStyle w:val="41"/>
      </w:pPr>
      <w:r>
        <w:t>1.4.1</w:t>
      </w:r>
      <w:r>
        <w:rPr>
          <w:rFonts w:hint="eastAsia"/>
        </w:rPr>
        <w:t>　自然条件</w:t>
      </w:r>
    </w:p>
    <w:p>
      <w:pPr>
        <w:pStyle w:val="54"/>
        <w:ind w:firstLine="560"/>
      </w:pPr>
      <w:r>
        <w:rPr>
          <w:rFonts w:hint="eastAsia"/>
        </w:rPr>
        <w:t>（1）地理位置</w:t>
      </w:r>
    </w:p>
    <w:p>
      <w:pPr>
        <w:pStyle w:val="43"/>
        <w:ind w:firstLine="560"/>
        <w:rPr>
          <w:lang w:bidi="en-US"/>
        </w:rPr>
      </w:pPr>
      <w:r>
        <w:rPr>
          <w:rFonts w:hint="eastAsia"/>
          <w:lang w:bidi="en-US"/>
        </w:rPr>
        <w:t>元谋地处昆明—攀枝花经济圈的重要结合部，是楚北经济发展核心极，与昆明、大理、丽江、香格里拉等世界著名旅游区一同构成香格里拉大旅游环线圈，具备公路、铁路、水上航运的立体交通运输网络。县城距州府楚雄</w:t>
      </w:r>
      <w:r>
        <w:rPr>
          <w:lang w:bidi="en-US"/>
        </w:rPr>
        <w:t>134</w:t>
      </w:r>
      <w:r>
        <w:rPr>
          <w:rFonts w:hint="eastAsia"/>
          <w:lang w:bidi="en-US"/>
        </w:rPr>
        <w:t>公里、省城昆明</w:t>
      </w:r>
      <w:r>
        <w:rPr>
          <w:lang w:bidi="en-US"/>
        </w:rPr>
        <w:t>156</w:t>
      </w:r>
      <w:r>
        <w:rPr>
          <w:rFonts w:hint="eastAsia"/>
          <w:lang w:bidi="en-US"/>
        </w:rPr>
        <w:t>公里、四川攀枝花</w:t>
      </w:r>
      <w:r>
        <w:rPr>
          <w:lang w:bidi="en-US"/>
        </w:rPr>
        <w:t>139</w:t>
      </w:r>
      <w:r>
        <w:rPr>
          <w:rFonts w:hint="eastAsia"/>
          <w:lang w:bidi="en-US"/>
        </w:rPr>
        <w:t>公里，</w:t>
      </w:r>
      <w:r>
        <w:rPr>
          <w:lang w:bidi="en-US"/>
        </w:rPr>
        <w:t>108</w:t>
      </w:r>
      <w:r>
        <w:rPr>
          <w:rFonts w:hint="eastAsia"/>
          <w:lang w:bidi="en-US"/>
        </w:rPr>
        <w:t>国道、</w:t>
      </w:r>
      <w:r>
        <w:rPr>
          <w:lang w:bidi="en-US"/>
        </w:rPr>
        <w:t>G5</w:t>
      </w:r>
      <w:r>
        <w:rPr>
          <w:rFonts w:hint="eastAsia"/>
          <w:lang w:bidi="en-US"/>
        </w:rPr>
        <w:t>京昆高速公路、昆明至攀枝花动车横穿腹地。</w:t>
      </w:r>
    </w:p>
    <w:p>
      <w:pPr>
        <w:pStyle w:val="54"/>
        <w:ind w:firstLine="560"/>
      </w:pPr>
      <w:r>
        <w:rPr>
          <w:rFonts w:hint="eastAsia"/>
        </w:rPr>
        <w:t>（2）气候条件与生态环境</w:t>
      </w:r>
    </w:p>
    <w:p>
      <w:pPr>
        <w:pStyle w:val="43"/>
        <w:ind w:firstLine="560"/>
        <w:rPr>
          <w:lang w:bidi="en-US"/>
        </w:rPr>
      </w:pPr>
      <w:r>
        <w:rPr>
          <w:rFonts w:hint="eastAsia"/>
          <w:lang w:bidi="en-US"/>
        </w:rPr>
        <w:t>元谋县属南亚热带干热河谷气候，全年降雨量</w:t>
      </w:r>
      <w:r>
        <w:rPr>
          <w:lang w:bidi="en-US"/>
        </w:rPr>
        <w:t>511.6</w:t>
      </w:r>
      <w:r>
        <w:rPr>
          <w:rFonts w:hint="eastAsia"/>
          <w:lang w:bidi="en-US"/>
        </w:rPr>
        <w:t>毫米，全年基本无霜年，平均气温</w:t>
      </w:r>
      <w:r>
        <w:rPr>
          <w:lang w:bidi="en-US"/>
        </w:rPr>
        <w:t>23.3</w:t>
      </w:r>
      <w:r>
        <w:rPr>
          <w:rFonts w:hint="eastAsia" w:ascii="宋体" w:hAnsi="宋体" w:eastAsia="宋体" w:cs="宋体"/>
          <w:lang w:bidi="en-US"/>
        </w:rPr>
        <w:t>℃</w:t>
      </w:r>
      <w:r>
        <w:rPr>
          <w:rFonts w:hint="eastAsia"/>
          <w:lang w:bidi="en-US"/>
        </w:rPr>
        <w:t>，年日照</w:t>
      </w:r>
      <w:r>
        <w:rPr>
          <w:lang w:bidi="en-US"/>
        </w:rPr>
        <w:t>2563</w:t>
      </w:r>
      <w:r>
        <w:rPr>
          <w:rFonts w:hint="eastAsia"/>
          <w:lang w:bidi="en-US"/>
        </w:rPr>
        <w:t>小时，素有</w:t>
      </w:r>
      <w:r>
        <w:rPr>
          <w:lang w:bidi="en-US"/>
        </w:rPr>
        <w:t>“</w:t>
      </w:r>
      <w:r>
        <w:rPr>
          <w:rFonts w:hint="eastAsia"/>
          <w:lang w:bidi="en-US"/>
        </w:rPr>
        <w:t>天然温室</w:t>
      </w:r>
      <w:r>
        <w:rPr>
          <w:lang w:bidi="en-US"/>
        </w:rPr>
        <w:t>”</w:t>
      </w:r>
      <w:r>
        <w:rPr>
          <w:rFonts w:hint="eastAsia"/>
          <w:lang w:bidi="en-US"/>
        </w:rPr>
        <w:t>之称。被云南省发改委列为全省</w:t>
      </w:r>
      <w:r>
        <w:rPr>
          <w:lang w:bidi="en-US"/>
        </w:rPr>
        <w:t>“</w:t>
      </w:r>
      <w:r>
        <w:rPr>
          <w:rFonts w:hint="eastAsia"/>
          <w:lang w:bidi="en-US"/>
        </w:rPr>
        <w:t>十二五</w:t>
      </w:r>
      <w:r>
        <w:rPr>
          <w:lang w:bidi="en-US"/>
        </w:rPr>
        <w:t>”</w:t>
      </w:r>
      <w:r>
        <w:rPr>
          <w:rFonts w:hint="eastAsia"/>
          <w:lang w:bidi="en-US"/>
        </w:rPr>
        <w:t>期间太阳能开发利用基地示范县，风能、太阳能、生物质能等新能源发展潜力巨大。</w:t>
      </w:r>
    </w:p>
    <w:p>
      <w:pPr>
        <w:pStyle w:val="41"/>
      </w:pPr>
      <w:r>
        <w:t>1.4.2</w:t>
      </w:r>
      <w:r>
        <w:rPr>
          <w:rFonts w:hint="eastAsia"/>
        </w:rPr>
        <w:t>　经济因素</w:t>
      </w:r>
    </w:p>
    <w:p>
      <w:pPr>
        <w:pStyle w:val="43"/>
        <w:ind w:firstLine="560"/>
        <w:rPr>
          <w:lang w:bidi="en-US"/>
        </w:rPr>
      </w:pPr>
      <w:r>
        <w:rPr>
          <w:lang w:bidi="en-US"/>
        </w:rPr>
        <w:t>20</w:t>
      </w:r>
      <w:r>
        <w:rPr>
          <w:rFonts w:hint="eastAsia"/>
          <w:lang w:bidi="en-US"/>
        </w:rPr>
        <w:t>20年，全县实现地区生产总值</w:t>
      </w:r>
      <w:r>
        <w:rPr>
          <w:lang w:bidi="en-US"/>
        </w:rPr>
        <w:t>84.49</w:t>
      </w:r>
      <w:r>
        <w:rPr>
          <w:rFonts w:hint="eastAsia"/>
          <w:lang w:bidi="en-US"/>
        </w:rPr>
        <w:t>亿元，同比增长</w:t>
      </w:r>
      <w:r>
        <w:rPr>
          <w:lang w:bidi="en-US"/>
        </w:rPr>
        <w:t>11.1%</w:t>
      </w:r>
      <w:r>
        <w:rPr>
          <w:rFonts w:hint="eastAsia"/>
          <w:lang w:bidi="en-US"/>
        </w:rPr>
        <w:t>。其中，第一产业增加值</w:t>
      </w:r>
      <w:r>
        <w:rPr>
          <w:lang w:bidi="en-US"/>
        </w:rPr>
        <w:t>21.26</w:t>
      </w:r>
      <w:r>
        <w:rPr>
          <w:rFonts w:hint="eastAsia"/>
          <w:lang w:bidi="en-US"/>
        </w:rPr>
        <w:t>亿元，增长</w:t>
      </w:r>
      <w:r>
        <w:rPr>
          <w:lang w:bidi="en-US"/>
        </w:rPr>
        <w:t>5.8%</w:t>
      </w:r>
      <w:r>
        <w:rPr>
          <w:rFonts w:hint="eastAsia"/>
          <w:lang w:bidi="en-US"/>
        </w:rPr>
        <w:t>；第二产业增加值</w:t>
      </w:r>
      <w:r>
        <w:rPr>
          <w:lang w:bidi="en-US"/>
        </w:rPr>
        <w:t>25.42</w:t>
      </w:r>
      <w:r>
        <w:rPr>
          <w:rFonts w:hint="eastAsia"/>
          <w:lang w:bidi="en-US"/>
        </w:rPr>
        <w:t>亿元，增长</w:t>
      </w:r>
      <w:r>
        <w:rPr>
          <w:lang w:bidi="en-US"/>
        </w:rPr>
        <w:t>15.7%</w:t>
      </w:r>
      <w:r>
        <w:rPr>
          <w:rFonts w:hint="eastAsia"/>
          <w:lang w:bidi="en-US"/>
        </w:rPr>
        <w:t>；第三产业增加值</w:t>
      </w:r>
      <w:r>
        <w:rPr>
          <w:lang w:bidi="en-US"/>
        </w:rPr>
        <w:t>37.81</w:t>
      </w:r>
      <w:r>
        <w:rPr>
          <w:rFonts w:hint="eastAsia"/>
          <w:lang w:bidi="en-US"/>
        </w:rPr>
        <w:t>亿元，增长</w:t>
      </w:r>
      <w:r>
        <w:rPr>
          <w:lang w:bidi="en-US"/>
        </w:rPr>
        <w:t>10.5%</w:t>
      </w:r>
      <w:r>
        <w:rPr>
          <w:rFonts w:hint="eastAsia"/>
          <w:lang w:bidi="en-US"/>
        </w:rPr>
        <w:t>，第一、第二、第三产业对生产总值增长的贡献率分别为</w:t>
      </w:r>
      <w:r>
        <w:rPr>
          <w:lang w:bidi="en-US"/>
        </w:rPr>
        <w:t>13.4%</w:t>
      </w:r>
      <w:r>
        <w:rPr>
          <w:rFonts w:hint="eastAsia"/>
          <w:lang w:bidi="en-US"/>
        </w:rPr>
        <w:t>、</w:t>
      </w:r>
      <w:r>
        <w:rPr>
          <w:lang w:bidi="en-US"/>
        </w:rPr>
        <w:t>46.1%</w:t>
      </w:r>
      <w:r>
        <w:rPr>
          <w:rFonts w:hint="eastAsia"/>
          <w:lang w:bidi="en-US"/>
        </w:rPr>
        <w:t>和</w:t>
      </w:r>
      <w:r>
        <w:rPr>
          <w:lang w:bidi="en-US"/>
        </w:rPr>
        <w:t>40.5%</w:t>
      </w:r>
      <w:r>
        <w:rPr>
          <w:rFonts w:hint="eastAsia"/>
          <w:lang w:bidi="en-US"/>
        </w:rPr>
        <w:t>，分别拉动经济</w:t>
      </w:r>
      <w:r>
        <w:rPr>
          <w:lang w:bidi="en-US"/>
        </w:rPr>
        <w:t>1.5</w:t>
      </w:r>
      <w:r>
        <w:rPr>
          <w:rFonts w:hint="eastAsia"/>
          <w:lang w:bidi="en-US"/>
        </w:rPr>
        <w:t>、</w:t>
      </w:r>
      <w:r>
        <w:rPr>
          <w:lang w:bidi="en-US"/>
        </w:rPr>
        <w:t>5.1</w:t>
      </w:r>
      <w:r>
        <w:rPr>
          <w:rFonts w:hint="eastAsia"/>
          <w:lang w:bidi="en-US"/>
        </w:rPr>
        <w:t>、</w:t>
      </w:r>
      <w:r>
        <w:rPr>
          <w:lang w:bidi="en-US"/>
        </w:rPr>
        <w:t>4.5</w:t>
      </w:r>
      <w:r>
        <w:rPr>
          <w:rFonts w:hint="eastAsia"/>
          <w:lang w:bidi="en-US"/>
        </w:rPr>
        <w:t>个百分点，第一、二、三产业增加值占生产总值的比重为</w:t>
      </w:r>
      <w:r>
        <w:rPr>
          <w:lang w:bidi="en-US"/>
        </w:rPr>
        <w:t>25.2</w:t>
      </w:r>
      <w:r>
        <w:rPr>
          <w:rFonts w:hint="eastAsia"/>
          <w:lang w:bidi="en-US"/>
        </w:rPr>
        <w:t>：</w:t>
      </w:r>
      <w:r>
        <w:rPr>
          <w:lang w:bidi="en-US"/>
        </w:rPr>
        <w:t>30.1</w:t>
      </w:r>
      <w:r>
        <w:rPr>
          <w:rFonts w:hint="eastAsia"/>
          <w:lang w:bidi="en-US"/>
        </w:rPr>
        <w:t>：</w:t>
      </w:r>
      <w:r>
        <w:rPr>
          <w:lang w:bidi="en-US"/>
        </w:rPr>
        <w:t>44.7</w:t>
      </w:r>
      <w:r>
        <w:rPr>
          <w:rFonts w:hint="eastAsia"/>
          <w:lang w:bidi="en-US"/>
        </w:rPr>
        <w:t>。</w:t>
      </w:r>
    </w:p>
    <w:p>
      <w:pPr>
        <w:pStyle w:val="43"/>
        <w:ind w:firstLine="560"/>
      </w:pPr>
      <w:r>
        <w:rPr>
          <w:rFonts w:hint="eastAsia"/>
        </w:rPr>
        <w:t>元谋绿色产业发展快速，是全国仅有的露天冬早蔬菜种植区，种植蔬菜、水果品种达</w:t>
      </w:r>
      <w:r>
        <w:t>150</w:t>
      </w:r>
      <w:r>
        <w:rPr>
          <w:rFonts w:hint="eastAsia"/>
        </w:rPr>
        <w:t>多个，主要种植的大宗蔬菜有番茄、洋葱、黄瓜、青玉米等。产品销往近</w:t>
      </w:r>
      <w:r>
        <w:t>200</w:t>
      </w:r>
      <w:r>
        <w:rPr>
          <w:rFonts w:hint="eastAsia"/>
        </w:rPr>
        <w:t>多个大中城市，被国家农业部评为全国无公害蔬菜生产基地示范县先进单位、全国</w:t>
      </w:r>
      <w:r>
        <w:t>100</w:t>
      </w:r>
      <w:r>
        <w:rPr>
          <w:rFonts w:hint="eastAsia"/>
        </w:rPr>
        <w:t>个无公害蔬菜试验基地县之一、全国首批农产品质量安全县，外销蔬菜被列入全国绿色通道。有“金沙江畔大菜园”“挂在成昆线上的菜篮子”和“中国冬早蔬菜之乡”的美誉。“元谋番茄”“元谋青枣”地理性证明商标和“元谋蔬菜”“元谋水果”集体商标获国家工商总局注册。全县累计获得无公害农产品认证</w:t>
      </w:r>
      <w:r>
        <w:t>27</w:t>
      </w:r>
      <w:r>
        <w:rPr>
          <w:rFonts w:hint="eastAsia"/>
        </w:rPr>
        <w:t>个、绿色食品认证</w:t>
      </w:r>
      <w:r>
        <w:t>55</w:t>
      </w:r>
      <w:r>
        <w:rPr>
          <w:rFonts w:hint="eastAsia"/>
        </w:rPr>
        <w:t>个、有机食品认证证书</w:t>
      </w:r>
      <w:r>
        <w:t>10</w:t>
      </w:r>
      <w:r>
        <w:rPr>
          <w:rFonts w:hint="eastAsia"/>
        </w:rPr>
        <w:t>个。“元绿”牌洋葱、“果先锋”牌葡萄荣获</w:t>
      </w:r>
      <w:r>
        <w:t>2018</w:t>
      </w:r>
      <w:r>
        <w:rPr>
          <w:rFonts w:hint="eastAsia"/>
        </w:rPr>
        <w:t>年云南省绿色食品“十大名品”，洋葱、有机甜玉米、牛蒡和鲜食葡萄荣获</w:t>
      </w:r>
      <w:r>
        <w:t>2019</w:t>
      </w:r>
      <w:r>
        <w:rPr>
          <w:rFonts w:hint="eastAsia"/>
        </w:rPr>
        <w:t>年云南省“十大名品”，成为全省拥有“十大名品”个数最多的县市。</w:t>
      </w:r>
      <w:r>
        <w:t>2019</w:t>
      </w:r>
      <w:r>
        <w:rPr>
          <w:rFonts w:hint="eastAsia"/>
        </w:rPr>
        <w:t>年成功入围全省蔬菜产业“一县一业”示范县。</w:t>
      </w:r>
    </w:p>
    <w:p>
      <w:pPr>
        <w:pStyle w:val="43"/>
        <w:ind w:firstLine="560"/>
        <w:rPr>
          <w:szCs w:val="24"/>
          <w:lang w:bidi="en-US"/>
        </w:rPr>
      </w:pPr>
      <w:r>
        <w:rPr>
          <w:rFonts w:hint="eastAsia"/>
          <w:lang w:bidi="en-US"/>
        </w:rPr>
        <w:t>元谋县大力发展高原特色农业及元谋品牌畜牧业，以当前</w:t>
      </w:r>
      <w:r>
        <w:rPr>
          <w:lang w:bidi="en-US"/>
        </w:rPr>
        <w:t>“</w:t>
      </w:r>
      <w:r>
        <w:rPr>
          <w:rFonts w:hint="eastAsia"/>
          <w:lang w:bidi="en-US"/>
        </w:rPr>
        <w:t>农、林、畜</w:t>
      </w:r>
      <w:r>
        <w:rPr>
          <w:lang w:bidi="en-US"/>
        </w:rPr>
        <w:t>”</w:t>
      </w:r>
      <w:r>
        <w:rPr>
          <w:rFonts w:hint="eastAsia"/>
          <w:lang w:bidi="en-US"/>
        </w:rPr>
        <w:t>等龙头企业为基础，继续打造地方优势特色品牌，提速推进优质农业产业基地建设，实施规模化、产业化发展。第一产业中传统农业仍占主导地位。通过示范带动，实施规模连片蔬菜种植</w:t>
      </w:r>
      <w:r>
        <w:rPr>
          <w:lang w:bidi="en-US"/>
        </w:rPr>
        <w:t>73000</w:t>
      </w:r>
      <w:r>
        <w:rPr>
          <w:rFonts w:hint="eastAsia"/>
          <w:lang w:bidi="en-US"/>
        </w:rPr>
        <w:t>亩、中草药材（当年收获）</w:t>
      </w:r>
      <w:r>
        <w:rPr>
          <w:rFonts w:hint="eastAsia"/>
          <w:szCs w:val="24"/>
          <w:lang w:bidi="en-US"/>
        </w:rPr>
        <w:t>种植</w:t>
      </w:r>
      <w:r>
        <w:rPr>
          <w:szCs w:val="24"/>
          <w:lang w:bidi="en-US"/>
        </w:rPr>
        <w:t>3394</w:t>
      </w:r>
      <w:r>
        <w:rPr>
          <w:rFonts w:hint="eastAsia"/>
          <w:szCs w:val="24"/>
          <w:lang w:bidi="en-US"/>
        </w:rPr>
        <w:t>亩，全年实现蔬菜及食用菌产值</w:t>
      </w:r>
      <w:r>
        <w:rPr>
          <w:szCs w:val="24"/>
          <w:lang w:bidi="en-US"/>
        </w:rPr>
        <w:t>6.34</w:t>
      </w:r>
      <w:r>
        <w:rPr>
          <w:rFonts w:hint="eastAsia"/>
          <w:szCs w:val="24"/>
          <w:lang w:bidi="en-US"/>
        </w:rPr>
        <w:t>亿元，同比增长</w:t>
      </w:r>
      <w:r>
        <w:rPr>
          <w:szCs w:val="24"/>
          <w:lang w:bidi="en-US"/>
        </w:rPr>
        <w:t>5.3%</w:t>
      </w:r>
      <w:r>
        <w:rPr>
          <w:rFonts w:hint="eastAsia"/>
          <w:szCs w:val="24"/>
          <w:lang w:bidi="en-US"/>
        </w:rPr>
        <w:t>；实现中草药材产值</w:t>
      </w:r>
      <w:r>
        <w:rPr>
          <w:szCs w:val="24"/>
          <w:lang w:bidi="en-US"/>
        </w:rPr>
        <w:t>4950</w:t>
      </w:r>
      <w:r>
        <w:rPr>
          <w:rFonts w:hint="eastAsia"/>
          <w:szCs w:val="24"/>
          <w:lang w:bidi="en-US"/>
        </w:rPr>
        <w:t>万元，同比增长</w:t>
      </w:r>
      <w:r>
        <w:rPr>
          <w:szCs w:val="24"/>
          <w:lang w:bidi="en-US"/>
        </w:rPr>
        <w:t>27.1%</w:t>
      </w:r>
      <w:r>
        <w:rPr>
          <w:rFonts w:hint="eastAsia"/>
          <w:szCs w:val="24"/>
          <w:lang w:bidi="en-US"/>
        </w:rPr>
        <w:t>。着力生态建设，提升</w:t>
      </w:r>
      <w:r>
        <w:rPr>
          <w:szCs w:val="24"/>
          <w:lang w:bidi="en-US"/>
        </w:rPr>
        <w:t>5000</w:t>
      </w:r>
      <w:r>
        <w:rPr>
          <w:rFonts w:hint="eastAsia"/>
          <w:szCs w:val="24"/>
          <w:lang w:bidi="en-US"/>
        </w:rPr>
        <w:t>亩柑橘、</w:t>
      </w:r>
      <w:r>
        <w:rPr>
          <w:szCs w:val="24"/>
          <w:lang w:bidi="en-US"/>
        </w:rPr>
        <w:t>16000</w:t>
      </w:r>
      <w:r>
        <w:rPr>
          <w:rFonts w:hint="eastAsia"/>
          <w:szCs w:val="24"/>
          <w:lang w:bidi="en-US"/>
        </w:rPr>
        <w:t>亩芒果、</w:t>
      </w:r>
      <w:r>
        <w:rPr>
          <w:szCs w:val="24"/>
          <w:lang w:bidi="en-US"/>
        </w:rPr>
        <w:t>4000</w:t>
      </w:r>
      <w:r>
        <w:rPr>
          <w:rFonts w:hint="eastAsia"/>
          <w:szCs w:val="24"/>
          <w:lang w:bidi="en-US"/>
        </w:rPr>
        <w:t>亩冬桃、</w:t>
      </w:r>
      <w:r>
        <w:rPr>
          <w:szCs w:val="24"/>
          <w:lang w:bidi="en-US"/>
        </w:rPr>
        <w:t>1200</w:t>
      </w:r>
      <w:r>
        <w:rPr>
          <w:rFonts w:hint="eastAsia"/>
          <w:szCs w:val="24"/>
          <w:lang w:bidi="en-US"/>
        </w:rPr>
        <w:t>亩香蕉、</w:t>
      </w:r>
      <w:r>
        <w:rPr>
          <w:szCs w:val="24"/>
          <w:lang w:bidi="en-US"/>
        </w:rPr>
        <w:t>150000</w:t>
      </w:r>
      <w:r>
        <w:rPr>
          <w:rFonts w:hint="eastAsia"/>
          <w:szCs w:val="24"/>
          <w:lang w:bidi="en-US"/>
        </w:rPr>
        <w:t>亩核桃、</w:t>
      </w:r>
      <w:r>
        <w:rPr>
          <w:szCs w:val="24"/>
          <w:lang w:bidi="en-US"/>
        </w:rPr>
        <w:t>60000</w:t>
      </w:r>
      <w:r>
        <w:rPr>
          <w:rFonts w:hint="eastAsia"/>
          <w:szCs w:val="24"/>
          <w:lang w:bidi="en-US"/>
        </w:rPr>
        <w:t>亩板栗、</w:t>
      </w:r>
      <w:r>
        <w:rPr>
          <w:szCs w:val="24"/>
          <w:lang w:bidi="en-US"/>
        </w:rPr>
        <w:t>10000</w:t>
      </w:r>
      <w:r>
        <w:rPr>
          <w:rFonts w:hint="eastAsia"/>
          <w:szCs w:val="24"/>
          <w:lang w:bidi="en-US"/>
        </w:rPr>
        <w:t>亩花椒质量，全年实现水果类产值</w:t>
      </w:r>
      <w:r>
        <w:rPr>
          <w:szCs w:val="24"/>
          <w:lang w:bidi="en-US"/>
        </w:rPr>
        <w:t>7406</w:t>
      </w:r>
      <w:r>
        <w:rPr>
          <w:rFonts w:hint="eastAsia"/>
          <w:szCs w:val="24"/>
          <w:lang w:bidi="en-US"/>
        </w:rPr>
        <w:t>万元，同比增长</w:t>
      </w:r>
      <w:r>
        <w:rPr>
          <w:szCs w:val="24"/>
          <w:lang w:bidi="en-US"/>
        </w:rPr>
        <w:t>17.2%</w:t>
      </w:r>
      <w:r>
        <w:rPr>
          <w:rFonts w:hint="eastAsia"/>
          <w:szCs w:val="24"/>
          <w:lang w:bidi="en-US"/>
        </w:rPr>
        <w:t>；实现坚果类产值</w:t>
      </w:r>
      <w:r>
        <w:rPr>
          <w:szCs w:val="24"/>
          <w:lang w:bidi="en-US"/>
        </w:rPr>
        <w:t>5962</w:t>
      </w:r>
      <w:r>
        <w:rPr>
          <w:rFonts w:hint="eastAsia"/>
          <w:szCs w:val="24"/>
          <w:lang w:bidi="en-US"/>
        </w:rPr>
        <w:t>万元，同比增长</w:t>
      </w:r>
      <w:r>
        <w:rPr>
          <w:szCs w:val="24"/>
          <w:lang w:bidi="en-US"/>
        </w:rPr>
        <w:t>14.6%</w:t>
      </w:r>
      <w:r>
        <w:rPr>
          <w:rFonts w:hint="eastAsia"/>
          <w:szCs w:val="24"/>
          <w:lang w:bidi="en-US"/>
        </w:rPr>
        <w:t>。抓实畜禽养殖，加快发展以</w:t>
      </w:r>
      <w:r>
        <w:rPr>
          <w:szCs w:val="24"/>
          <w:lang w:bidi="en-US"/>
        </w:rPr>
        <w:t>“</w:t>
      </w:r>
      <w:r>
        <w:rPr>
          <w:rFonts w:hint="eastAsia"/>
          <w:szCs w:val="24"/>
          <w:lang w:bidi="en-US"/>
        </w:rPr>
        <w:t>元谋鸡</w:t>
      </w:r>
      <w:r>
        <w:rPr>
          <w:szCs w:val="24"/>
          <w:lang w:bidi="en-US"/>
        </w:rPr>
        <w:t>”</w:t>
      </w:r>
      <w:r>
        <w:rPr>
          <w:rFonts w:hint="eastAsia"/>
          <w:szCs w:val="24"/>
          <w:lang w:bidi="en-US"/>
        </w:rPr>
        <w:t>为代表，生猪、肉牛、黑山羊、肉兔等为辅助的畜牧产业，全年实现畜牧业产值</w:t>
      </w:r>
      <w:r>
        <w:rPr>
          <w:szCs w:val="24"/>
          <w:lang w:bidi="en-US"/>
        </w:rPr>
        <w:t>17.74</w:t>
      </w:r>
      <w:r>
        <w:rPr>
          <w:rFonts w:hint="eastAsia"/>
          <w:szCs w:val="24"/>
          <w:lang w:bidi="en-US"/>
        </w:rPr>
        <w:t>亿元，同比增长</w:t>
      </w:r>
      <w:r>
        <w:rPr>
          <w:szCs w:val="24"/>
          <w:lang w:bidi="en-US"/>
        </w:rPr>
        <w:t>8.4%</w:t>
      </w:r>
      <w:r>
        <w:rPr>
          <w:rFonts w:hint="eastAsia"/>
          <w:szCs w:val="24"/>
          <w:lang w:bidi="en-US"/>
        </w:rPr>
        <w:t>，畜牧业产值比重达</w:t>
      </w:r>
      <w:r>
        <w:rPr>
          <w:szCs w:val="24"/>
          <w:lang w:bidi="en-US"/>
        </w:rPr>
        <w:t>46.1%</w:t>
      </w:r>
      <w:r>
        <w:rPr>
          <w:rFonts w:hint="eastAsia"/>
          <w:szCs w:val="24"/>
          <w:lang w:bidi="en-US"/>
        </w:rPr>
        <w:t>。修补渔业短板，克服干旱缺水形成的制约，实施</w:t>
      </w:r>
      <w:r>
        <w:rPr>
          <w:szCs w:val="24"/>
          <w:lang w:bidi="en-US"/>
        </w:rPr>
        <w:t>“</w:t>
      </w:r>
      <w:r>
        <w:rPr>
          <w:rFonts w:hint="eastAsia"/>
          <w:szCs w:val="24"/>
          <w:lang w:bidi="en-US"/>
        </w:rPr>
        <w:t>稻</w:t>
      </w:r>
      <w:r>
        <w:rPr>
          <w:szCs w:val="24"/>
          <w:lang w:bidi="en-US"/>
        </w:rPr>
        <w:t>+</w:t>
      </w:r>
      <w:r>
        <w:rPr>
          <w:rFonts w:hint="eastAsia"/>
          <w:szCs w:val="24"/>
          <w:lang w:bidi="en-US"/>
        </w:rPr>
        <w:t>鱼</w:t>
      </w:r>
      <w:r>
        <w:rPr>
          <w:szCs w:val="24"/>
          <w:lang w:bidi="en-US"/>
        </w:rPr>
        <w:t>”</w:t>
      </w:r>
      <w:r>
        <w:rPr>
          <w:rFonts w:hint="eastAsia"/>
          <w:szCs w:val="24"/>
          <w:lang w:bidi="en-US"/>
        </w:rPr>
        <w:t>绿色水产养殖</w:t>
      </w:r>
      <w:r>
        <w:rPr>
          <w:szCs w:val="24"/>
          <w:lang w:bidi="en-US"/>
        </w:rPr>
        <w:t>6000</w:t>
      </w:r>
      <w:r>
        <w:rPr>
          <w:rFonts w:hint="eastAsia"/>
          <w:szCs w:val="24"/>
          <w:lang w:bidi="en-US"/>
        </w:rPr>
        <w:t>亩，全年实现渔业产值</w:t>
      </w:r>
      <w:r>
        <w:rPr>
          <w:szCs w:val="24"/>
          <w:lang w:bidi="en-US"/>
        </w:rPr>
        <w:t>2600</w:t>
      </w:r>
      <w:r>
        <w:rPr>
          <w:rFonts w:hint="eastAsia"/>
          <w:szCs w:val="24"/>
          <w:lang w:bidi="en-US"/>
        </w:rPr>
        <w:t>万元，同比增长</w:t>
      </w:r>
      <w:r>
        <w:rPr>
          <w:szCs w:val="24"/>
          <w:lang w:bidi="en-US"/>
        </w:rPr>
        <w:t>6.8%</w:t>
      </w:r>
      <w:r>
        <w:rPr>
          <w:rFonts w:hint="eastAsia"/>
          <w:szCs w:val="24"/>
          <w:lang w:bidi="en-US"/>
        </w:rPr>
        <w:t>。</w:t>
      </w:r>
    </w:p>
    <w:p>
      <w:pPr>
        <w:pStyle w:val="43"/>
        <w:ind w:firstLine="560"/>
        <w:rPr>
          <w:lang w:bidi="en-US"/>
        </w:rPr>
      </w:pPr>
      <w:r>
        <w:rPr>
          <w:rFonts w:hint="eastAsia"/>
          <w:lang w:bidi="en-US"/>
        </w:rPr>
        <w:t>元谋县因孕育了</w:t>
      </w:r>
      <w:r>
        <w:rPr>
          <w:lang w:bidi="en-US"/>
        </w:rPr>
        <w:t>170</w:t>
      </w:r>
      <w:r>
        <w:rPr>
          <w:rFonts w:hint="eastAsia"/>
          <w:lang w:bidi="en-US"/>
        </w:rPr>
        <w:t>万年前的</w:t>
      </w:r>
      <w:r>
        <w:rPr>
          <w:lang w:bidi="en-US"/>
        </w:rPr>
        <w:t>“</w:t>
      </w:r>
      <w:r>
        <w:rPr>
          <w:rFonts w:hint="eastAsia"/>
          <w:lang w:bidi="en-US"/>
        </w:rPr>
        <w:t>元谋人</w:t>
      </w:r>
      <w:r>
        <w:rPr>
          <w:lang w:bidi="en-US"/>
        </w:rPr>
        <w:t>”</w:t>
      </w:r>
      <w:r>
        <w:rPr>
          <w:rFonts w:hint="eastAsia"/>
          <w:lang w:bidi="en-US"/>
        </w:rPr>
        <w:t>，被誉为</w:t>
      </w:r>
      <w:r>
        <w:rPr>
          <w:lang w:bidi="en-US"/>
        </w:rPr>
        <w:t>“</w:t>
      </w:r>
      <w:r>
        <w:rPr>
          <w:rFonts w:hint="eastAsia"/>
          <w:lang w:bidi="en-US"/>
        </w:rPr>
        <w:t>东方人类发祥地</w:t>
      </w:r>
      <w:r>
        <w:rPr>
          <w:lang w:bidi="en-US"/>
        </w:rPr>
        <w:t>”</w:t>
      </w:r>
      <w:r>
        <w:rPr>
          <w:rFonts w:hint="eastAsia"/>
          <w:lang w:bidi="en-US"/>
        </w:rPr>
        <w:t>。在境内还发现了包含侏罗纪早、中、晚期的恐龙化石群，距今</w:t>
      </w:r>
      <w:r>
        <w:rPr>
          <w:lang w:bidi="en-US"/>
        </w:rPr>
        <w:t>400</w:t>
      </w:r>
      <w:r>
        <w:rPr>
          <w:rFonts w:hint="eastAsia"/>
          <w:lang w:bidi="en-US"/>
        </w:rPr>
        <w:t>万年前的元谋腊玛古猿和旧石器、中石器、新石器时代的大量遗址、遗物和遗存，代表着金沙江流域的石器文化。有全国重点文物保护单位</w:t>
      </w:r>
      <w:r>
        <w:rPr>
          <w:lang w:bidi="en-US"/>
        </w:rPr>
        <w:t>3</w:t>
      </w:r>
      <w:r>
        <w:rPr>
          <w:rFonts w:hint="eastAsia"/>
          <w:lang w:bidi="en-US"/>
        </w:rPr>
        <w:t>个，省级、州级重点文物保护单位</w:t>
      </w:r>
      <w:r>
        <w:rPr>
          <w:lang w:bidi="en-US"/>
        </w:rPr>
        <w:t>6</w:t>
      </w:r>
      <w:r>
        <w:rPr>
          <w:rFonts w:hint="eastAsia"/>
          <w:lang w:bidi="en-US"/>
        </w:rPr>
        <w:t>个。县境内还有诸葛武侯平定南中留下的遗迹、神奇梦幻的元谋土林、全国红色旅游经典景区金沙江龙街渡以及雄奇险峻的金沙江峡谷风光、多姿多彩的小凉山彝族风情、独具特色的热坝田园风光。有国家</w:t>
      </w:r>
      <w:r>
        <w:rPr>
          <w:lang w:bidi="en-US"/>
        </w:rPr>
        <w:t>4A</w:t>
      </w:r>
      <w:r>
        <w:rPr>
          <w:rFonts w:hint="eastAsia"/>
          <w:lang w:bidi="en-US"/>
        </w:rPr>
        <w:t>级</w:t>
      </w:r>
      <w:r>
        <w:rPr>
          <w:lang w:bidi="en-US"/>
        </w:rPr>
        <w:t>1</w:t>
      </w:r>
      <w:r>
        <w:rPr>
          <w:rFonts w:hint="eastAsia"/>
          <w:lang w:bidi="en-US"/>
        </w:rPr>
        <w:t>个、</w:t>
      </w:r>
      <w:r>
        <w:rPr>
          <w:lang w:bidi="en-US"/>
        </w:rPr>
        <w:t>3A</w:t>
      </w:r>
      <w:r>
        <w:rPr>
          <w:rFonts w:hint="eastAsia"/>
          <w:lang w:bidi="en-US"/>
        </w:rPr>
        <w:t>级景区</w:t>
      </w:r>
      <w:r>
        <w:rPr>
          <w:lang w:bidi="en-US"/>
        </w:rPr>
        <w:t>4</w:t>
      </w:r>
      <w:r>
        <w:rPr>
          <w:rFonts w:hint="eastAsia"/>
          <w:lang w:bidi="en-US"/>
        </w:rPr>
        <w:t>个，目前正全力打造元谋古人类历史文化旅游项目——元谋人世界公园。</w:t>
      </w:r>
    </w:p>
    <w:p>
      <w:pPr>
        <w:pStyle w:val="41"/>
      </w:pPr>
      <w:r>
        <w:t>1.4.3</w:t>
      </w:r>
      <w:r>
        <w:rPr>
          <w:rFonts w:hint="eastAsia"/>
        </w:rPr>
        <w:t>　社会因素</w:t>
      </w:r>
    </w:p>
    <w:p>
      <w:pPr>
        <w:pStyle w:val="43"/>
        <w:ind w:firstLine="560"/>
        <w:rPr>
          <w:lang w:bidi="en-US"/>
        </w:rPr>
      </w:pPr>
      <w:r>
        <w:rPr>
          <w:lang w:bidi="en-US"/>
        </w:rPr>
        <w:t>“</w:t>
      </w:r>
      <w:r>
        <w:rPr>
          <w:rFonts w:hint="eastAsia"/>
          <w:lang w:bidi="en-US"/>
        </w:rPr>
        <w:t>十四五</w:t>
      </w:r>
      <w:r>
        <w:rPr>
          <w:lang w:bidi="en-US"/>
        </w:rPr>
        <w:t>”</w:t>
      </w:r>
      <w:r>
        <w:rPr>
          <w:rFonts w:hint="eastAsia"/>
          <w:lang w:bidi="en-US"/>
        </w:rPr>
        <w:t>期间，随着我国经济发展进入新常态、城镇化发展进入新阶段、生态文明建设进入新时代，元谋县将步入新型城镇化、乡村振兴、农村现代化、产业结构创新升级以及全域旅游格局构建的重要发展时期。“十四五”时期是水库移民与当地居民共同发展、共同富裕的共建期，围绕《国务院关于完善大中型水库移民后期扶持政策的意见》（国发〔</w:t>
      </w:r>
      <w:r>
        <w:rPr>
          <w:lang w:bidi="en-US"/>
        </w:rPr>
        <w:t>2006</w:t>
      </w:r>
      <w:r>
        <w:rPr>
          <w:rFonts w:hint="eastAsia"/>
          <w:lang w:bidi="en-US"/>
        </w:rPr>
        <w:t>〕</w:t>
      </w:r>
      <w:r>
        <w:rPr>
          <w:lang w:bidi="en-US"/>
        </w:rPr>
        <w:t xml:space="preserve"> 17 </w:t>
      </w:r>
      <w:r>
        <w:rPr>
          <w:rFonts w:hint="eastAsia"/>
          <w:lang w:bidi="en-US"/>
        </w:rPr>
        <w:t>号）确定的大中型水库移民后期扶持政策中长期目标，应聚焦移民发展的突出问题和薄弱环节，满足移民群众对美好生活的更高需求，使移民生活水平不断提高。</w:t>
      </w:r>
    </w:p>
    <w:p>
      <w:pPr>
        <w:pStyle w:val="43"/>
        <w:ind w:firstLine="560"/>
        <w:rPr>
          <w:lang w:bidi="en-US"/>
        </w:rPr>
      </w:pPr>
      <w:r>
        <w:rPr>
          <w:rFonts w:hint="eastAsia"/>
          <w:lang w:bidi="en-US"/>
        </w:rPr>
        <w:t>目前，元谋县移民村人均收入不均衡。同时，移民村面临着土地紧张、产业不兴的困境。耕地及建设用地资源紧缺，移民村整体高价值土地少且经营者少，现状产业规模小效益低。另一方面，移民村又面临着劳动力能力差的问题，本地产业空虚，可供移民的就业机会少。</w:t>
      </w:r>
    </w:p>
    <w:p>
      <w:pPr>
        <w:pStyle w:val="43"/>
        <w:ind w:firstLine="560"/>
        <w:rPr>
          <w:lang w:bidi="en-US"/>
        </w:rPr>
      </w:pPr>
      <w:r>
        <w:rPr>
          <w:rFonts w:hint="eastAsia"/>
          <w:lang w:bidi="en-US"/>
        </w:rPr>
        <w:t>元谋县库区和移民安置区产业主要是传统农业、种植业，产业的工业化进程受到各种条件的制约。通过多年的发展，库区和移民安置区已初步形成以热区林果业种植或花卉养殖业，附加农业观光为主的旅游业，这些产业可成为库区及移民安置村的经济发展的基础，直接关系到移民群众的生存和发展。但由于缺乏资金投入，一、二、三产业发展融合层次不高、集中度不够，规模经营不大，配套设施不全，组织协调性不强，远远不能满足和适应库区移民安稳致富的需要。</w:t>
      </w:r>
    </w:p>
    <w:p>
      <w:pPr>
        <w:pStyle w:val="43"/>
        <w:ind w:firstLine="560"/>
        <w:rPr>
          <w:lang w:bidi="en-US"/>
        </w:rPr>
      </w:pPr>
      <w:r>
        <w:rPr>
          <w:rFonts w:hint="eastAsia"/>
          <w:lang w:bidi="en-US"/>
        </w:rPr>
        <w:t>对于元谋县来说，搞好水库移民后期扶持工作对改善移民生产生活条件，增加移民收入，维护安置区稳定有着深远的意义。项目扶持应着眼于解决移民群众实际困难出发，因地制宜地规划、实施项目，切实提高移民群众收入。</w:t>
      </w:r>
    </w:p>
    <w:p>
      <w:pPr>
        <w:pStyle w:val="41"/>
      </w:pPr>
      <w:r>
        <w:t>1.4.4</w:t>
      </w:r>
      <w:r>
        <w:rPr>
          <w:rFonts w:hint="eastAsia"/>
        </w:rPr>
        <w:t>　政策因素</w:t>
      </w:r>
    </w:p>
    <w:p>
      <w:pPr>
        <w:pStyle w:val="43"/>
        <w:ind w:firstLine="560"/>
        <w:rPr>
          <w:lang w:bidi="en-US"/>
        </w:rPr>
      </w:pPr>
      <w:r>
        <w:rPr>
          <w:rFonts w:hint="eastAsia"/>
          <w:lang w:bidi="en-US"/>
        </w:rPr>
        <w:t>根据《楚雄州人民政府关于印发楚雄彝族自治州乡村振兴战略规划（</w:t>
      </w:r>
      <w:r>
        <w:rPr>
          <w:lang w:bidi="en-US"/>
        </w:rPr>
        <w:t>2018-2022年）的通知》</w:t>
      </w:r>
      <w:r>
        <w:rPr>
          <w:rFonts w:hint="eastAsia"/>
          <w:lang w:bidi="en-US"/>
        </w:rPr>
        <w:t>（</w:t>
      </w:r>
      <w:r>
        <w:rPr>
          <w:lang w:bidi="en-US"/>
        </w:rPr>
        <w:t>楚政通</w:t>
      </w:r>
      <w:r>
        <w:rPr>
          <w:rFonts w:hint="eastAsia"/>
          <w:lang w:bidi="en-US"/>
        </w:rPr>
        <w:t>〔</w:t>
      </w:r>
      <w:r>
        <w:rPr>
          <w:lang w:bidi="en-US"/>
        </w:rPr>
        <w:t>20</w:t>
      </w:r>
      <w:r>
        <w:rPr>
          <w:rFonts w:hint="eastAsia"/>
          <w:lang w:bidi="en-US"/>
        </w:rPr>
        <w:t>19〕</w:t>
      </w:r>
      <w:r>
        <w:rPr>
          <w:lang w:bidi="en-US"/>
        </w:rPr>
        <w:t>35 号</w:t>
      </w:r>
      <w:r>
        <w:rPr>
          <w:rFonts w:hint="eastAsia"/>
          <w:lang w:bidi="en-US"/>
        </w:rPr>
        <w:t>）</w:t>
      </w:r>
      <w:r>
        <w:rPr>
          <w:lang w:bidi="en-US"/>
        </w:rPr>
        <w:t>的指导思路，以习近平新时代中国特色社会主义思想为指导，全面贯彻党的十九大和十九届二中、三中、四中全会精神，贯彻落实国家、省推进实施乡村战略规划、系列决策部署</w:t>
      </w:r>
      <w:r>
        <w:rPr>
          <w:rFonts w:hint="eastAsia"/>
          <w:lang w:bidi="en-US"/>
        </w:rPr>
        <w:t>，</w:t>
      </w:r>
      <w:r>
        <w:rPr>
          <w:lang w:bidi="en-US"/>
        </w:rPr>
        <w:t>坚定不移实施州委</w:t>
      </w:r>
      <w:r>
        <w:rPr>
          <w:rFonts w:hint="eastAsia"/>
          <w:lang w:bidi="en-US"/>
        </w:rPr>
        <w:t>“1133”</w:t>
      </w:r>
      <w:r>
        <w:rPr>
          <w:lang w:bidi="en-US"/>
        </w:rPr>
        <w:t>战略，主动服务和融入国家和省发展战略，坚持农业农村先发展，把实施乡村振兴战略作为</w:t>
      </w:r>
      <w:r>
        <w:rPr>
          <w:rFonts w:hint="eastAsia"/>
          <w:lang w:bidi="en-US"/>
        </w:rPr>
        <w:t>“三农”</w:t>
      </w:r>
      <w:r>
        <w:rPr>
          <w:lang w:bidi="en-US"/>
        </w:rPr>
        <w:t>工作的总抓手，按照产业兴旺、生态宜居、乡风文明、治理有效、生活富裕的总要求，大力推动实施“绿色+”、“特色+”</w:t>
      </w:r>
      <w:r>
        <w:rPr>
          <w:rFonts w:hint="eastAsia"/>
          <w:lang w:bidi="en-US"/>
        </w:rPr>
        <w:t>、“互联网</w:t>
      </w:r>
      <w:r>
        <w:rPr>
          <w:lang w:bidi="en-US"/>
        </w:rPr>
        <w:t>+”与农业、能源、城镇、旅游、文化、健康、政务等领域深度融合。</w:t>
      </w:r>
    </w:p>
    <w:p>
      <w:pPr>
        <w:pStyle w:val="43"/>
        <w:ind w:firstLine="560"/>
        <w:rPr>
          <w:lang w:bidi="en-US"/>
        </w:rPr>
      </w:pPr>
      <w:r>
        <w:rPr>
          <w:rFonts w:hint="eastAsia"/>
          <w:lang w:bidi="en-US"/>
        </w:rPr>
        <w:t>围绕国家</w:t>
      </w:r>
      <w:r>
        <w:rPr>
          <w:lang w:bidi="en-US"/>
        </w:rPr>
        <w:t>“</w:t>
      </w:r>
      <w:r>
        <w:rPr>
          <w:rFonts w:hint="eastAsia"/>
          <w:lang w:bidi="en-US"/>
        </w:rPr>
        <w:t>一带一路</w:t>
      </w:r>
      <w:r>
        <w:rPr>
          <w:lang w:bidi="en-US"/>
        </w:rPr>
        <w:t>”</w:t>
      </w:r>
      <w:r>
        <w:rPr>
          <w:rFonts w:hint="eastAsia"/>
          <w:lang w:bidi="en-US"/>
        </w:rPr>
        <w:t>倡议和云南省建设</w:t>
      </w:r>
      <w:r>
        <w:rPr>
          <w:lang w:bidi="en-US"/>
        </w:rPr>
        <w:t>“</w:t>
      </w:r>
      <w:r>
        <w:rPr>
          <w:rFonts w:hint="eastAsia"/>
          <w:lang w:bidi="en-US"/>
        </w:rPr>
        <w:t>民族团结进步示范区、生态文明建设排头兵、面向南亚东南亚辐射中心</w:t>
      </w:r>
      <w:r>
        <w:rPr>
          <w:lang w:bidi="en-US"/>
        </w:rPr>
        <w:t>”</w:t>
      </w:r>
      <w:r>
        <w:rPr>
          <w:rFonts w:hint="eastAsia"/>
          <w:lang w:bidi="en-US"/>
        </w:rPr>
        <w:t>的契机，主动融入和服务国家及省相关发展战略，加快楚雄州工业化和城镇化进程，合理引导楚雄州城乡发展，构建科学有序、分工协调、特色显著的城镇体系结构，科学合理地配置区域空间资源，实现经济、社会、环境和城镇建设的持续、协调发展。</w:t>
      </w:r>
    </w:p>
    <w:p>
      <w:pPr>
        <w:pStyle w:val="43"/>
        <w:ind w:firstLine="560"/>
        <w:rPr>
          <w:lang w:bidi="en-US"/>
        </w:rPr>
      </w:pPr>
      <w:r>
        <w:rPr>
          <w:rFonts w:hint="eastAsia"/>
          <w:lang w:bidi="en-US"/>
        </w:rPr>
        <w:t>为打造楚北产业增长极，以包括元谋县在内的三个县城为支撑，充分发挥永仁、元谋、大姚地处金沙江中部，内印成渝经济区连通长江经济带和丝绸之路经济带，外联孟中印缅经济走廊面向南亚东南亚重要交通节点的独特区位优势，加快推进新型工业化和新型城镇化进程，主动服务并融入金沙江开放合作经济带发展，主动承接成渝经济区、攀西经济区等先进地区产业转移，打造绿色农业、绿色工业、绿色能源、绿色服务业融合发展示范区。其次，含大姚县、元谋县、永仁县及州域北部多个乡镇的楚雄州北部城镇集群，是云南省川滇合作的西北门户区，是楚雄州高原特色农业重点发展区域。其三，逐步强化元谋县城建设为楚北区域服务功能，并规划沿金沙江建设沿江发展带，引领沿江小城镇及广大乡村地区发展。</w:t>
      </w:r>
    </w:p>
    <w:p>
      <w:pPr>
        <w:spacing w:before="156"/>
        <w:rPr>
          <w:rFonts w:ascii="Times New Roman" w:cs="Times New Roman"/>
          <w:color w:val="000000"/>
          <w:kern w:val="0"/>
          <w:szCs w:val="24"/>
          <w:lang w:bidi="en-US"/>
        </w:rPr>
        <w:sectPr>
          <w:headerReference r:id="rId14" w:type="default"/>
          <w:headerReference r:id="rId15" w:type="even"/>
          <w:pgSz w:w="11906" w:h="16838"/>
          <w:pgMar w:top="1616" w:right="1418" w:bottom="1616" w:left="1418" w:header="907" w:footer="1304" w:gutter="0"/>
          <w:cols w:space="425" w:num="1"/>
          <w:docGrid w:type="lines" w:linePitch="312" w:charSpace="0"/>
        </w:sectPr>
      </w:pPr>
    </w:p>
    <w:p>
      <w:pPr>
        <w:pStyle w:val="2"/>
        <w:rPr>
          <w:rFonts w:hAnsi="Times New Roman" w:cs="Times New Roman"/>
        </w:rPr>
      </w:pPr>
      <w:bookmarkStart w:id="29" w:name="_Toc86914813"/>
      <w:r>
        <w:rPr>
          <w:rFonts w:hAnsi="Times New Roman" w:cs="Times New Roman"/>
        </w:rPr>
        <w:t>2</w:t>
      </w:r>
      <w:r>
        <w:rPr>
          <w:rFonts w:hint="eastAsia" w:hAnsi="Times New Roman" w:cs="Times New Roman"/>
        </w:rPr>
        <w:t>　总体要求</w:t>
      </w:r>
      <w:bookmarkEnd w:id="29"/>
    </w:p>
    <w:p>
      <w:pPr>
        <w:pStyle w:val="3"/>
        <w:rPr>
          <w:rFonts w:hAnsi="Times New Roman" w:cs="Times New Roman"/>
          <w:szCs w:val="36"/>
        </w:rPr>
      </w:pPr>
      <w:bookmarkStart w:id="30" w:name="_Toc86914814"/>
      <w:r>
        <w:rPr>
          <w:rFonts w:hAnsi="Times New Roman" w:cs="Times New Roman"/>
          <w:szCs w:val="36"/>
        </w:rPr>
        <w:t>2.1</w:t>
      </w:r>
      <w:r>
        <w:rPr>
          <w:rFonts w:hint="eastAsia" w:hAnsi="Times New Roman" w:cs="Times New Roman"/>
          <w:szCs w:val="36"/>
        </w:rPr>
        <w:t>　指导思想</w:t>
      </w:r>
      <w:bookmarkEnd w:id="30"/>
    </w:p>
    <w:p>
      <w:pPr>
        <w:pStyle w:val="43"/>
        <w:ind w:firstLine="560"/>
        <w:rPr>
          <w:lang w:bidi="en-US"/>
        </w:rPr>
      </w:pPr>
      <w:r>
        <w:rPr>
          <w:rFonts w:hint="eastAsia"/>
          <w:lang w:bidi="en-US"/>
        </w:rPr>
        <w:t>坚持以习近平新时代中国特色社会主义思想为指导，认真贯彻落实党中央、国务院的决策部署，牢固树立新发展理念，落实高质量发展要求，以实施乡村振兴战略为统领，积极践行</w:t>
      </w:r>
      <w:r>
        <w:rPr>
          <w:lang w:bidi="en-US"/>
        </w:rPr>
        <w:t>“</w:t>
      </w:r>
      <w:r>
        <w:rPr>
          <w:rFonts w:hint="eastAsia"/>
          <w:lang w:bidi="en-US"/>
        </w:rPr>
        <w:t>水利工程补短板、水利行业强监管</w:t>
      </w:r>
      <w:r>
        <w:rPr>
          <w:lang w:bidi="en-US"/>
        </w:rPr>
        <w:t>”</w:t>
      </w:r>
      <w:r>
        <w:rPr>
          <w:rFonts w:hint="eastAsia"/>
          <w:lang w:bidi="en-US"/>
        </w:rPr>
        <w:t>的水利改革发展总基调，围绕《国务院关于完善大中型水库移民后期扶持政策的意见》（国发〔</w:t>
      </w:r>
      <w:r>
        <w:rPr>
          <w:lang w:bidi="en-US"/>
        </w:rPr>
        <w:t>2006</w:t>
      </w:r>
      <w:r>
        <w:rPr>
          <w:rFonts w:hint="eastAsia"/>
          <w:lang w:bidi="en-US"/>
        </w:rPr>
        <w:t>〕</w:t>
      </w:r>
      <w:r>
        <w:rPr>
          <w:lang w:bidi="en-US"/>
        </w:rPr>
        <w:t>17</w:t>
      </w:r>
      <w:r>
        <w:rPr>
          <w:rFonts w:hint="eastAsia"/>
          <w:lang w:bidi="en-US"/>
        </w:rPr>
        <w:t>号）确定的大中型水库移民后期扶持政策中长期目标和我省后期扶持“123456”工作思路，聚焦元谋县移民发展的主要矛盾、突出问题和移民群众对美好生活的更高需求，采取得力举措，精准发力，补短板、促升级、增后劲、惠民生，促进移民产业升级发展、改善生态环境、提升基础设施水平、完善基本公共服务、倡树文明新风、创新社会治理，使移民生活水平不断提高。</w:t>
      </w:r>
    </w:p>
    <w:p>
      <w:pPr>
        <w:pStyle w:val="3"/>
        <w:rPr>
          <w:rFonts w:hAnsi="Times New Roman" w:cs="Times New Roman"/>
          <w:szCs w:val="36"/>
        </w:rPr>
      </w:pPr>
      <w:bookmarkStart w:id="31" w:name="_Toc86914815"/>
      <w:r>
        <w:rPr>
          <w:rFonts w:hAnsi="Times New Roman" w:cs="Times New Roman"/>
          <w:szCs w:val="36"/>
        </w:rPr>
        <w:t>2.2</w:t>
      </w:r>
      <w:r>
        <w:rPr>
          <w:rFonts w:hint="eastAsia" w:hAnsi="Times New Roman" w:cs="Times New Roman"/>
          <w:szCs w:val="36"/>
        </w:rPr>
        <w:t>　规划原则</w:t>
      </w:r>
      <w:bookmarkEnd w:id="31"/>
    </w:p>
    <w:p>
      <w:pPr>
        <w:pStyle w:val="43"/>
        <w:ind w:firstLine="560"/>
        <w:rPr>
          <w:lang w:bidi="en-US"/>
        </w:rPr>
      </w:pPr>
      <w:r>
        <w:rPr>
          <w:lang w:bidi="en-US"/>
        </w:rPr>
        <w:t>——</w:t>
      </w:r>
      <w:r>
        <w:rPr>
          <w:rFonts w:hint="eastAsia"/>
          <w:lang w:bidi="en-US"/>
        </w:rPr>
        <w:t>坚持规划引领。准确把握时代特征，深入研判元谋县水库移民发展形势，聚焦移民发展的薄弱环节和突出问题，提出基本思路和解决方案，充分发挥规划对</w:t>
      </w:r>
      <w:r>
        <w:rPr>
          <w:lang w:bidi="en-US"/>
        </w:rPr>
        <w:t>“</w:t>
      </w:r>
      <w:r>
        <w:rPr>
          <w:rFonts w:hint="eastAsia"/>
          <w:lang w:bidi="en-US"/>
        </w:rPr>
        <w:t>十四五</w:t>
      </w:r>
      <w:r>
        <w:rPr>
          <w:lang w:bidi="en-US"/>
        </w:rPr>
        <w:t>”</w:t>
      </w:r>
      <w:r>
        <w:rPr>
          <w:rFonts w:hint="eastAsia"/>
          <w:lang w:bidi="en-US"/>
        </w:rPr>
        <w:t>时期后期扶持工作的战略导向作用。</w:t>
      </w:r>
    </w:p>
    <w:p>
      <w:pPr>
        <w:pStyle w:val="43"/>
        <w:ind w:firstLine="560"/>
        <w:rPr>
          <w:lang w:bidi="en-US"/>
        </w:rPr>
      </w:pPr>
      <w:r>
        <w:rPr>
          <w:lang w:bidi="en-US"/>
        </w:rPr>
        <w:t>——</w:t>
      </w:r>
      <w:r>
        <w:rPr>
          <w:rFonts w:hint="eastAsia"/>
          <w:lang w:bidi="en-US"/>
        </w:rPr>
        <w:t>坚持绿色发展。践行绿水青山就是金山银山理念，节约资源，保护环境，坚定走生产发展、生活富裕、生态良好的文明发展道路，围绕对元谋县各类资源的保护和利用，构建元谋县人与自然和谐共生的发展新格局。</w:t>
      </w:r>
    </w:p>
    <w:p>
      <w:pPr>
        <w:pStyle w:val="43"/>
        <w:ind w:firstLine="560"/>
        <w:rPr>
          <w:lang w:bidi="en-US"/>
        </w:rPr>
      </w:pPr>
      <w:r>
        <w:rPr>
          <w:lang w:bidi="en-US"/>
        </w:rPr>
        <w:t>——</w:t>
      </w:r>
      <w:r>
        <w:rPr>
          <w:rFonts w:hint="eastAsia"/>
          <w:lang w:bidi="en-US"/>
        </w:rPr>
        <w:t>坚持统筹协调。规划以国民经济和社会发展规划为统领，以国土空间规划为基础，与乡村振兴战略规划等相关专项规划紧密衔接，统筹谋划移民的发展，一张蓝图绘到底，确保规划能落地、好实施、见实效。</w:t>
      </w:r>
    </w:p>
    <w:p>
      <w:pPr>
        <w:pStyle w:val="43"/>
        <w:ind w:firstLine="560"/>
        <w:rPr>
          <w:lang w:bidi="en-US"/>
        </w:rPr>
      </w:pPr>
      <w:r>
        <w:rPr>
          <w:lang w:bidi="en-US"/>
        </w:rPr>
        <w:t>——</w:t>
      </w:r>
      <w:r>
        <w:rPr>
          <w:rFonts w:hint="eastAsia"/>
          <w:lang w:bidi="en-US"/>
        </w:rPr>
        <w:t>坚持目标导向。围绕规划确定的后期扶持政策中长期目标，基于元谋县当前资源的支撑能力，找准移民发展的主要矛盾和突出问题，坚持目标导向和问题导向相统一，明确工作任务，制定针对性的解决方案，向着既定目标迈进。</w:t>
      </w:r>
    </w:p>
    <w:p>
      <w:pPr>
        <w:pStyle w:val="43"/>
        <w:ind w:firstLine="560"/>
        <w:rPr>
          <w:lang w:bidi="en-US"/>
        </w:rPr>
      </w:pPr>
      <w:r>
        <w:rPr>
          <w:lang w:bidi="en-US"/>
        </w:rPr>
        <w:t>——</w:t>
      </w:r>
      <w:r>
        <w:rPr>
          <w:rFonts w:hint="eastAsia"/>
          <w:lang w:bidi="en-US"/>
        </w:rPr>
        <w:t>坚持协同配合。充分发挥后期扶持政策与其他专项资金的叠加效应，强化部门协作配合，集中相关资源和力量，合力帮扶水库移民。整合多渠道后期扶持资金，集中力量办大事，提高项目规模化、集约化水平，提高后期扶持资金使用效率。</w:t>
      </w:r>
    </w:p>
    <w:p>
      <w:pPr>
        <w:pStyle w:val="43"/>
        <w:ind w:firstLine="560"/>
        <w:rPr>
          <w:lang w:bidi="en-US"/>
        </w:rPr>
      </w:pPr>
      <w:r>
        <w:rPr>
          <w:lang w:bidi="en-US"/>
        </w:rPr>
        <w:t>——</w:t>
      </w:r>
      <w:r>
        <w:rPr>
          <w:rFonts w:hint="eastAsia"/>
          <w:lang w:bidi="en-US"/>
        </w:rPr>
        <w:t>坚持因地制宜。科学把握元谋县移民的区域性、民族多样性、差异性特征和发</w:t>
      </w:r>
      <w:r>
        <w:rPr>
          <w:rStyle w:val="42"/>
          <w:rFonts w:hint="eastAsia"/>
        </w:rPr>
        <w:t>展</w:t>
      </w:r>
      <w:r>
        <w:rPr>
          <w:rFonts w:hint="eastAsia"/>
          <w:lang w:bidi="en-US"/>
        </w:rPr>
        <w:t>趋势，从县域的实际出发，统筹考虑、综合平衡、因地制宜、分类施策，整村（片区）推进，不搞</w:t>
      </w:r>
      <w:r>
        <w:rPr>
          <w:lang w:bidi="en-US"/>
        </w:rPr>
        <w:t>“</w:t>
      </w:r>
      <w:r>
        <w:rPr>
          <w:rFonts w:hint="eastAsia"/>
          <w:lang w:bidi="en-US"/>
        </w:rPr>
        <w:t>一刀切</w:t>
      </w:r>
      <w:r>
        <w:rPr>
          <w:lang w:bidi="en-US"/>
        </w:rPr>
        <w:t>”</w:t>
      </w:r>
      <w:r>
        <w:rPr>
          <w:rFonts w:hint="eastAsia"/>
          <w:lang w:bidi="en-US"/>
        </w:rPr>
        <w:t>，鼓励探索创造符合元谋县本地实际的发展路径。</w:t>
      </w:r>
    </w:p>
    <w:p>
      <w:pPr>
        <w:pStyle w:val="43"/>
        <w:ind w:firstLine="560"/>
        <w:rPr>
          <w:lang w:bidi="en-US"/>
        </w:rPr>
      </w:pPr>
      <w:r>
        <w:rPr>
          <w:lang w:bidi="en-US"/>
        </w:rPr>
        <w:t>——</w:t>
      </w:r>
      <w:r>
        <w:rPr>
          <w:rFonts w:hint="eastAsia"/>
          <w:lang w:bidi="en-US"/>
        </w:rPr>
        <w:t>坚持改革创新。鼓励政策、制度和机制创新，不断完善资金筹措、资源整合、利益联结、监督考评等机制，激活要素、市场和各类经营主体，提升资源和要素配置效率，增强移民发展内生动力。</w:t>
      </w:r>
    </w:p>
    <w:p>
      <w:pPr>
        <w:pStyle w:val="43"/>
        <w:ind w:firstLine="560"/>
        <w:rPr>
          <w:lang w:bidi="en-US"/>
        </w:rPr>
      </w:pPr>
      <w:r>
        <w:rPr>
          <w:lang w:bidi="en-US"/>
        </w:rPr>
        <w:t>——</w:t>
      </w:r>
      <w:r>
        <w:rPr>
          <w:rFonts w:hint="eastAsia"/>
          <w:lang w:bidi="en-US"/>
        </w:rPr>
        <w:t>坚持开放民主。坚持以水库移民为重点，把维护元谋县广大移民群众的根本利益、促进移民安置区经济社会发展作为出发点和落脚点，充分尊重库区和移民安置区群众意愿，特别是移民的意愿，切实发挥库区和移民安置区群众的积极性，提高移民的规划参与度，确保规划符合时代发展要求，充分反映群众意愿。</w:t>
      </w:r>
    </w:p>
    <w:p>
      <w:pPr>
        <w:pStyle w:val="3"/>
        <w:rPr>
          <w:rFonts w:hAnsi="Times New Roman" w:cs="Times New Roman"/>
          <w:szCs w:val="36"/>
        </w:rPr>
      </w:pPr>
      <w:bookmarkStart w:id="32" w:name="_Toc86914816"/>
      <w:r>
        <w:rPr>
          <w:rFonts w:hAnsi="Times New Roman" w:cs="Times New Roman"/>
          <w:szCs w:val="36"/>
        </w:rPr>
        <w:t>2.3</w:t>
      </w:r>
      <w:r>
        <w:rPr>
          <w:rFonts w:hint="eastAsia" w:hAnsi="Times New Roman" w:cs="Times New Roman"/>
          <w:szCs w:val="36"/>
        </w:rPr>
        <w:t>　规划依据</w:t>
      </w:r>
      <w:bookmarkEnd w:id="32"/>
    </w:p>
    <w:p>
      <w:pPr>
        <w:pStyle w:val="43"/>
        <w:ind w:firstLine="560"/>
        <w:rPr>
          <w:lang w:bidi="en-US"/>
        </w:rPr>
      </w:pPr>
      <w:r>
        <w:rPr>
          <w:rFonts w:hint="eastAsia"/>
          <w:lang w:bidi="en-US"/>
        </w:rPr>
        <w:t>（</w:t>
      </w:r>
      <w:r>
        <w:rPr>
          <w:lang w:bidi="en-US"/>
        </w:rPr>
        <w:t>1</w:t>
      </w:r>
      <w:r>
        <w:rPr>
          <w:rFonts w:hint="eastAsia"/>
          <w:lang w:bidi="en-US"/>
        </w:rPr>
        <w:t>）《大中型水利水电工程建设征地补偿和移民安置条例》（国务院令第</w:t>
      </w:r>
      <w:r>
        <w:rPr>
          <w:lang w:bidi="en-US"/>
        </w:rPr>
        <w:t>471</w:t>
      </w:r>
      <w:r>
        <w:rPr>
          <w:rFonts w:hint="eastAsia"/>
          <w:lang w:bidi="en-US"/>
        </w:rPr>
        <w:t>号公布、第</w:t>
      </w:r>
      <w:r>
        <w:rPr>
          <w:lang w:bidi="en-US"/>
        </w:rPr>
        <w:t>679</w:t>
      </w:r>
      <w:r>
        <w:rPr>
          <w:rFonts w:hint="eastAsia"/>
          <w:lang w:bidi="en-US"/>
        </w:rPr>
        <w:t>号修订）；</w:t>
      </w:r>
    </w:p>
    <w:p>
      <w:pPr>
        <w:pStyle w:val="43"/>
        <w:ind w:firstLine="560"/>
        <w:rPr>
          <w:lang w:bidi="en-US"/>
        </w:rPr>
      </w:pPr>
      <w:r>
        <w:rPr>
          <w:rFonts w:hint="eastAsia"/>
          <w:lang w:bidi="en-US"/>
        </w:rPr>
        <w:t>（</w:t>
      </w:r>
      <w:r>
        <w:rPr>
          <w:lang w:bidi="en-US"/>
        </w:rPr>
        <w:t>2</w:t>
      </w:r>
      <w:r>
        <w:rPr>
          <w:rFonts w:hint="eastAsia"/>
          <w:lang w:bidi="en-US"/>
        </w:rPr>
        <w:t>）《国务院关于完善大中型水库移民后期扶持政策的意见》（国发〔</w:t>
      </w:r>
      <w:r>
        <w:rPr>
          <w:lang w:bidi="en-US"/>
        </w:rPr>
        <w:t>2006</w:t>
      </w:r>
      <w:r>
        <w:rPr>
          <w:rFonts w:hint="eastAsia"/>
          <w:lang w:bidi="en-US"/>
        </w:rPr>
        <w:t>〕</w:t>
      </w:r>
      <w:r>
        <w:rPr>
          <w:lang w:bidi="en-US"/>
        </w:rPr>
        <w:t>17</w:t>
      </w:r>
      <w:r>
        <w:rPr>
          <w:rFonts w:hint="eastAsia"/>
          <w:lang w:bidi="en-US"/>
        </w:rPr>
        <w:t>号）；</w:t>
      </w:r>
    </w:p>
    <w:p>
      <w:pPr>
        <w:pStyle w:val="43"/>
        <w:ind w:firstLine="560"/>
        <w:rPr>
          <w:lang w:bidi="en-US"/>
        </w:rPr>
      </w:pPr>
      <w:r>
        <w:rPr>
          <w:rFonts w:hint="eastAsia"/>
          <w:lang w:bidi="en-US"/>
        </w:rPr>
        <w:t>（</w:t>
      </w:r>
      <w:r>
        <w:rPr>
          <w:lang w:bidi="en-US"/>
        </w:rPr>
        <w:t>3</w:t>
      </w:r>
      <w:r>
        <w:rPr>
          <w:rFonts w:hint="eastAsia"/>
          <w:lang w:bidi="en-US"/>
        </w:rPr>
        <w:t>）《国家发改委等</w:t>
      </w:r>
      <w:r>
        <w:rPr>
          <w:lang w:bidi="en-US"/>
        </w:rPr>
        <w:t>14</w:t>
      </w:r>
      <w:r>
        <w:rPr>
          <w:rFonts w:hint="eastAsia"/>
          <w:lang w:bidi="en-US"/>
        </w:rPr>
        <w:t>部门关于促进库区和安置区经济社会发展的通知》（发改农经〔</w:t>
      </w:r>
      <w:r>
        <w:rPr>
          <w:lang w:bidi="en-US"/>
        </w:rPr>
        <w:t>2010</w:t>
      </w:r>
      <w:r>
        <w:rPr>
          <w:rFonts w:hint="eastAsia"/>
          <w:lang w:bidi="en-US"/>
        </w:rPr>
        <w:t>〕</w:t>
      </w:r>
      <w:r>
        <w:rPr>
          <w:lang w:bidi="en-US"/>
        </w:rPr>
        <w:t>2978</w:t>
      </w:r>
      <w:r>
        <w:rPr>
          <w:rFonts w:hint="eastAsia"/>
          <w:lang w:bidi="en-US"/>
        </w:rPr>
        <w:t>号）；</w:t>
      </w:r>
    </w:p>
    <w:p>
      <w:pPr>
        <w:pStyle w:val="43"/>
        <w:ind w:firstLine="560"/>
        <w:rPr>
          <w:lang w:bidi="en-US"/>
        </w:rPr>
      </w:pPr>
      <w:r>
        <w:rPr>
          <w:rFonts w:hint="eastAsia"/>
          <w:lang w:bidi="en-US"/>
        </w:rPr>
        <w:t>（</w:t>
      </w:r>
      <w:r>
        <w:rPr>
          <w:lang w:bidi="en-US"/>
        </w:rPr>
        <w:t>4</w:t>
      </w:r>
      <w:r>
        <w:rPr>
          <w:rFonts w:hint="eastAsia"/>
          <w:lang w:bidi="en-US"/>
        </w:rPr>
        <w:t>）《大中型水库移民后期扶持基金项目资金管理办法》（财农〔</w:t>
      </w:r>
      <w:r>
        <w:rPr>
          <w:lang w:bidi="en-US"/>
        </w:rPr>
        <w:t>2017</w:t>
      </w:r>
      <w:r>
        <w:rPr>
          <w:rFonts w:hint="eastAsia"/>
          <w:lang w:bidi="en-US"/>
        </w:rPr>
        <w:t>〕</w:t>
      </w:r>
      <w:r>
        <w:rPr>
          <w:lang w:bidi="en-US"/>
        </w:rPr>
        <w:t>128</w:t>
      </w:r>
      <w:r>
        <w:rPr>
          <w:rFonts w:hint="eastAsia"/>
          <w:lang w:bidi="en-US"/>
        </w:rPr>
        <w:t>号）；</w:t>
      </w:r>
    </w:p>
    <w:p>
      <w:pPr>
        <w:pStyle w:val="43"/>
        <w:ind w:firstLine="560"/>
        <w:rPr>
          <w:lang w:bidi="en-US"/>
        </w:rPr>
      </w:pPr>
      <w:r>
        <w:rPr>
          <w:rFonts w:hint="eastAsia"/>
          <w:lang w:bidi="en-US"/>
        </w:rPr>
        <w:t>（</w:t>
      </w:r>
      <w:r>
        <w:rPr>
          <w:lang w:bidi="en-US"/>
        </w:rPr>
        <w:t>5</w:t>
      </w:r>
      <w:r>
        <w:rPr>
          <w:rFonts w:hint="eastAsia"/>
          <w:lang w:bidi="en-US"/>
        </w:rPr>
        <w:t>）《水利部关于进一步做好大中型水库移民后期扶持工作的通知》（水移民〔</w:t>
      </w:r>
      <w:r>
        <w:rPr>
          <w:lang w:bidi="en-US"/>
        </w:rPr>
        <w:t>2018</w:t>
      </w:r>
      <w:r>
        <w:rPr>
          <w:rFonts w:hint="eastAsia"/>
          <w:lang w:bidi="en-US"/>
        </w:rPr>
        <w:t>〕</w:t>
      </w:r>
      <w:r>
        <w:rPr>
          <w:lang w:bidi="en-US"/>
        </w:rPr>
        <w:t>208</w:t>
      </w:r>
      <w:r>
        <w:rPr>
          <w:rFonts w:hint="eastAsia"/>
          <w:lang w:bidi="en-US"/>
        </w:rPr>
        <w:t>号）；</w:t>
      </w:r>
    </w:p>
    <w:p>
      <w:pPr>
        <w:pStyle w:val="43"/>
        <w:ind w:firstLine="560"/>
        <w:rPr>
          <w:lang w:bidi="en-US"/>
        </w:rPr>
      </w:pPr>
      <w:r>
        <w:rPr>
          <w:rFonts w:hint="eastAsia"/>
          <w:lang w:bidi="en-US"/>
        </w:rPr>
        <w:t>（</w:t>
      </w:r>
      <w:r>
        <w:rPr>
          <w:lang w:bidi="en-US"/>
        </w:rPr>
        <w:t>6</w:t>
      </w:r>
      <w:r>
        <w:rPr>
          <w:rFonts w:hint="eastAsia"/>
          <w:lang w:bidi="en-US"/>
        </w:rPr>
        <w:t>）《水利部关于印发加强水库移民工作监督管理指导意见的通知》（水移民〔</w:t>
      </w:r>
      <w:r>
        <w:rPr>
          <w:lang w:bidi="en-US"/>
        </w:rPr>
        <w:t>2019</w:t>
      </w:r>
      <w:r>
        <w:rPr>
          <w:rFonts w:hint="eastAsia"/>
          <w:lang w:bidi="en-US"/>
        </w:rPr>
        <w:t>〕</w:t>
      </w:r>
      <w:r>
        <w:rPr>
          <w:lang w:bidi="en-US"/>
        </w:rPr>
        <w:t>365</w:t>
      </w:r>
      <w:r>
        <w:rPr>
          <w:rFonts w:hint="eastAsia"/>
          <w:lang w:bidi="en-US"/>
        </w:rPr>
        <w:t>号）；</w:t>
      </w:r>
    </w:p>
    <w:p>
      <w:pPr>
        <w:pStyle w:val="43"/>
        <w:ind w:firstLine="560"/>
        <w:rPr>
          <w:lang w:bidi="en-US"/>
        </w:rPr>
      </w:pPr>
      <w:r>
        <w:rPr>
          <w:rFonts w:hint="eastAsia"/>
          <w:lang w:bidi="en-US"/>
        </w:rPr>
        <w:t>（</w:t>
      </w:r>
      <w:r>
        <w:rPr>
          <w:lang w:bidi="en-US"/>
        </w:rPr>
        <w:t>7</w:t>
      </w:r>
      <w:r>
        <w:rPr>
          <w:rFonts w:hint="eastAsia"/>
          <w:lang w:bidi="en-US"/>
        </w:rPr>
        <w:t>）《中共中央、国务院关于稳步推进农村集体产权制度改革的意见》（中发〔</w:t>
      </w:r>
      <w:r>
        <w:rPr>
          <w:lang w:bidi="en-US"/>
        </w:rPr>
        <w:t>2016</w:t>
      </w:r>
      <w:r>
        <w:rPr>
          <w:rFonts w:hint="eastAsia"/>
          <w:lang w:bidi="en-US"/>
        </w:rPr>
        <w:t>〕</w:t>
      </w:r>
      <w:r>
        <w:rPr>
          <w:lang w:bidi="en-US"/>
        </w:rPr>
        <w:t>37</w:t>
      </w:r>
      <w:r>
        <w:rPr>
          <w:rFonts w:hint="eastAsia"/>
          <w:lang w:bidi="en-US"/>
        </w:rPr>
        <w:t>号）；</w:t>
      </w:r>
    </w:p>
    <w:p>
      <w:pPr>
        <w:pStyle w:val="43"/>
        <w:ind w:firstLine="560"/>
        <w:rPr>
          <w:lang w:bidi="en-US"/>
        </w:rPr>
      </w:pPr>
      <w:r>
        <w:rPr>
          <w:rFonts w:hint="eastAsia"/>
          <w:lang w:bidi="en-US"/>
        </w:rPr>
        <w:t>（</w:t>
      </w:r>
      <w:r>
        <w:rPr>
          <w:lang w:bidi="en-US"/>
        </w:rPr>
        <w:t>8</w:t>
      </w:r>
      <w:r>
        <w:rPr>
          <w:rFonts w:hint="eastAsia"/>
          <w:lang w:bidi="en-US"/>
        </w:rPr>
        <w:t>）《国务院办公厅关于完善支持政策促进农民持续增收的若干意见》（国办发〔</w:t>
      </w:r>
      <w:r>
        <w:rPr>
          <w:lang w:bidi="en-US"/>
        </w:rPr>
        <w:t>2016</w:t>
      </w:r>
      <w:r>
        <w:rPr>
          <w:rFonts w:hint="eastAsia"/>
          <w:lang w:bidi="en-US"/>
        </w:rPr>
        <w:t>〕</w:t>
      </w:r>
      <w:r>
        <w:rPr>
          <w:lang w:bidi="en-US"/>
        </w:rPr>
        <w:t>87</w:t>
      </w:r>
      <w:r>
        <w:rPr>
          <w:rFonts w:hint="eastAsia"/>
          <w:lang w:bidi="en-US"/>
        </w:rPr>
        <w:t>号）；</w:t>
      </w:r>
    </w:p>
    <w:p>
      <w:pPr>
        <w:pStyle w:val="43"/>
        <w:ind w:firstLine="560"/>
        <w:rPr>
          <w:lang w:bidi="en-US"/>
        </w:rPr>
      </w:pPr>
      <w:r>
        <w:rPr>
          <w:rFonts w:hint="eastAsia"/>
          <w:lang w:bidi="en-US"/>
        </w:rPr>
        <w:t>（</w:t>
      </w:r>
      <w:r>
        <w:rPr>
          <w:lang w:bidi="en-US"/>
        </w:rPr>
        <w:t>9</w:t>
      </w:r>
      <w:r>
        <w:rPr>
          <w:rFonts w:hint="eastAsia"/>
          <w:lang w:bidi="en-US"/>
        </w:rPr>
        <w:t>）中共中央办公厅、国务院办公厅《关于加快构建政策体系培育新型农业经营主体的意见》（</w:t>
      </w:r>
      <w:r>
        <w:rPr>
          <w:lang w:bidi="en-US"/>
        </w:rPr>
        <w:t>2017</w:t>
      </w:r>
      <w:r>
        <w:rPr>
          <w:rFonts w:hint="eastAsia"/>
          <w:lang w:bidi="en-US"/>
        </w:rPr>
        <w:t>年</w:t>
      </w:r>
      <w:r>
        <w:rPr>
          <w:lang w:bidi="en-US"/>
        </w:rPr>
        <w:t>5</w:t>
      </w:r>
      <w:r>
        <w:rPr>
          <w:rFonts w:hint="eastAsia"/>
          <w:lang w:bidi="en-US"/>
        </w:rPr>
        <w:t>月）；</w:t>
      </w:r>
    </w:p>
    <w:p>
      <w:pPr>
        <w:pStyle w:val="43"/>
        <w:ind w:firstLine="560"/>
        <w:rPr>
          <w:lang w:bidi="en-US"/>
        </w:rPr>
      </w:pPr>
      <w:r>
        <w:rPr>
          <w:rFonts w:hint="eastAsia"/>
          <w:lang w:bidi="en-US"/>
        </w:rPr>
        <w:t>（</w:t>
      </w:r>
      <w:r>
        <w:rPr>
          <w:lang w:bidi="en-US"/>
        </w:rPr>
        <w:t>10</w:t>
      </w:r>
      <w:r>
        <w:rPr>
          <w:rFonts w:hint="eastAsia"/>
          <w:lang w:bidi="en-US"/>
        </w:rPr>
        <w:t>）《国务院关于探索建立涉农资金统筹整合长效机制的意见》（国发〔</w:t>
      </w:r>
      <w:r>
        <w:rPr>
          <w:lang w:bidi="en-US"/>
        </w:rPr>
        <w:t>2017</w:t>
      </w:r>
      <w:r>
        <w:rPr>
          <w:rFonts w:hint="eastAsia"/>
          <w:lang w:bidi="en-US"/>
        </w:rPr>
        <w:t>〕</w:t>
      </w:r>
      <w:r>
        <w:rPr>
          <w:lang w:bidi="en-US"/>
        </w:rPr>
        <w:t>54</w:t>
      </w:r>
      <w:r>
        <w:rPr>
          <w:rFonts w:hint="eastAsia"/>
          <w:lang w:bidi="en-US"/>
        </w:rPr>
        <w:t>号）；</w:t>
      </w:r>
    </w:p>
    <w:p>
      <w:pPr>
        <w:pStyle w:val="43"/>
        <w:ind w:firstLine="560"/>
        <w:rPr>
          <w:lang w:bidi="en-US"/>
        </w:rPr>
      </w:pPr>
      <w:r>
        <w:rPr>
          <w:rFonts w:hint="eastAsia"/>
          <w:lang w:bidi="en-US"/>
        </w:rPr>
        <w:t>（</w:t>
      </w:r>
      <w:r>
        <w:rPr>
          <w:lang w:bidi="en-US"/>
        </w:rPr>
        <w:t>11</w:t>
      </w:r>
      <w:r>
        <w:rPr>
          <w:rFonts w:hint="eastAsia"/>
          <w:lang w:bidi="en-US"/>
        </w:rPr>
        <w:t>）《中共中央、国务院关于统一规划体系更好发挥国家发展规划战略导向作用的意见》（中发〔</w:t>
      </w:r>
      <w:r>
        <w:rPr>
          <w:lang w:bidi="en-US"/>
        </w:rPr>
        <w:t>2018</w:t>
      </w:r>
      <w:r>
        <w:rPr>
          <w:rFonts w:hint="eastAsia"/>
          <w:lang w:bidi="en-US"/>
        </w:rPr>
        <w:t>〕</w:t>
      </w:r>
      <w:r>
        <w:rPr>
          <w:lang w:bidi="en-US"/>
        </w:rPr>
        <w:t>44</w:t>
      </w:r>
      <w:r>
        <w:rPr>
          <w:rFonts w:hint="eastAsia"/>
          <w:lang w:bidi="en-US"/>
        </w:rPr>
        <w:t>号）；</w:t>
      </w:r>
    </w:p>
    <w:p>
      <w:pPr>
        <w:pStyle w:val="43"/>
        <w:ind w:firstLine="560"/>
        <w:rPr>
          <w:lang w:bidi="en-US"/>
        </w:rPr>
      </w:pPr>
      <w:r>
        <w:rPr>
          <w:rFonts w:hint="eastAsia"/>
          <w:lang w:bidi="en-US"/>
        </w:rPr>
        <w:t>（</w:t>
      </w:r>
      <w:r>
        <w:rPr>
          <w:lang w:bidi="en-US"/>
        </w:rPr>
        <w:t>12</w:t>
      </w:r>
      <w:r>
        <w:rPr>
          <w:rFonts w:hint="eastAsia"/>
          <w:lang w:bidi="en-US"/>
        </w:rPr>
        <w:t>）《中共中央、国务院关于实施乡村振兴战略的意见》及《乡村振兴战略规划（</w:t>
      </w:r>
      <w:r>
        <w:rPr>
          <w:lang w:bidi="en-US"/>
        </w:rPr>
        <w:t>2018-2022</w:t>
      </w:r>
      <w:r>
        <w:rPr>
          <w:rFonts w:hint="eastAsia"/>
          <w:lang w:bidi="en-US"/>
        </w:rPr>
        <w:t>年）》；</w:t>
      </w:r>
    </w:p>
    <w:p>
      <w:pPr>
        <w:pStyle w:val="43"/>
        <w:ind w:firstLine="560"/>
        <w:rPr>
          <w:lang w:bidi="en-US"/>
        </w:rPr>
      </w:pPr>
      <w:r>
        <w:rPr>
          <w:rFonts w:hint="eastAsia"/>
          <w:lang w:bidi="en-US"/>
        </w:rPr>
        <w:t>（</w:t>
      </w:r>
      <w:r>
        <w:rPr>
          <w:lang w:bidi="en-US"/>
        </w:rPr>
        <w:t>13</w:t>
      </w:r>
      <w:r>
        <w:rPr>
          <w:rFonts w:hint="eastAsia"/>
          <w:lang w:bidi="en-US"/>
        </w:rPr>
        <w:t>）《中共中央办公厅、国务院办公厅关于加强和改进乡村治理的指导意见》（</w:t>
      </w:r>
      <w:r>
        <w:rPr>
          <w:lang w:bidi="en-US"/>
        </w:rPr>
        <w:t>2019</w:t>
      </w:r>
      <w:r>
        <w:rPr>
          <w:rFonts w:hint="eastAsia"/>
          <w:lang w:bidi="en-US"/>
        </w:rPr>
        <w:t>年</w:t>
      </w:r>
      <w:r>
        <w:rPr>
          <w:lang w:bidi="en-US"/>
        </w:rPr>
        <w:t>6</w:t>
      </w:r>
      <w:r>
        <w:rPr>
          <w:rFonts w:hint="eastAsia"/>
          <w:lang w:bidi="en-US"/>
        </w:rPr>
        <w:t>月）；</w:t>
      </w:r>
    </w:p>
    <w:p>
      <w:pPr>
        <w:pStyle w:val="43"/>
        <w:ind w:firstLine="560"/>
        <w:rPr>
          <w:lang w:bidi="en-US"/>
        </w:rPr>
      </w:pPr>
      <w:r>
        <w:rPr>
          <w:rFonts w:hint="eastAsia"/>
          <w:lang w:bidi="en-US"/>
        </w:rPr>
        <w:t>（</w:t>
      </w:r>
      <w:r>
        <w:rPr>
          <w:lang w:bidi="en-US"/>
        </w:rPr>
        <w:t>14</w:t>
      </w:r>
      <w:r>
        <w:rPr>
          <w:rFonts w:hint="eastAsia"/>
          <w:lang w:bidi="en-US"/>
        </w:rPr>
        <w:t>）《国务院关于促进乡村产业振兴的指导意见》（国发〔</w:t>
      </w:r>
      <w:r>
        <w:rPr>
          <w:lang w:bidi="en-US"/>
        </w:rPr>
        <w:t>2019</w:t>
      </w:r>
      <w:r>
        <w:rPr>
          <w:rFonts w:hint="eastAsia"/>
          <w:lang w:bidi="en-US"/>
        </w:rPr>
        <w:t>〕</w:t>
      </w:r>
      <w:r>
        <w:rPr>
          <w:lang w:bidi="en-US"/>
        </w:rPr>
        <w:t>12</w:t>
      </w:r>
      <w:r>
        <w:rPr>
          <w:rFonts w:hint="eastAsia"/>
          <w:lang w:bidi="en-US"/>
        </w:rPr>
        <w:t>号）；</w:t>
      </w:r>
    </w:p>
    <w:p>
      <w:pPr>
        <w:pStyle w:val="43"/>
        <w:ind w:firstLine="560"/>
        <w:rPr>
          <w:lang w:bidi="en-US"/>
        </w:rPr>
      </w:pPr>
      <w:r>
        <w:rPr>
          <w:rFonts w:hint="eastAsia"/>
          <w:lang w:bidi="en-US"/>
        </w:rPr>
        <w:t>（</w:t>
      </w:r>
      <w:r>
        <w:rPr>
          <w:lang w:bidi="en-US"/>
        </w:rPr>
        <w:t>15</w:t>
      </w:r>
      <w:r>
        <w:rPr>
          <w:rFonts w:hint="eastAsia"/>
          <w:lang w:bidi="en-US"/>
        </w:rPr>
        <w:t>）《水利部办公厅关于大中型水库移民后期扶持“十四五”规划编制工作的指导意见》（办移民〔</w:t>
      </w:r>
      <w:r>
        <w:rPr>
          <w:lang w:bidi="en-US"/>
        </w:rPr>
        <w:t>2</w:t>
      </w:r>
      <w:r>
        <w:rPr>
          <w:rFonts w:hint="eastAsia"/>
          <w:lang w:bidi="en-US"/>
        </w:rPr>
        <w:t>020〕98号）；</w:t>
      </w:r>
    </w:p>
    <w:p>
      <w:pPr>
        <w:pStyle w:val="43"/>
        <w:ind w:firstLine="560"/>
        <w:rPr>
          <w:lang w:bidi="en-US"/>
        </w:rPr>
      </w:pPr>
      <w:r>
        <w:rPr>
          <w:rFonts w:hint="eastAsia"/>
          <w:lang w:bidi="en-US"/>
        </w:rPr>
        <w:t>（</w:t>
      </w:r>
      <w:r>
        <w:rPr>
          <w:lang w:bidi="en-US"/>
        </w:rPr>
        <w:t>16</w:t>
      </w:r>
      <w:r>
        <w:rPr>
          <w:rFonts w:hint="eastAsia"/>
          <w:lang w:bidi="en-US"/>
        </w:rPr>
        <w:t>）《云南省人民政府关于进一步做好大中型水电工程移民工作的意见》（云政发〔</w:t>
      </w:r>
      <w:r>
        <w:rPr>
          <w:lang w:bidi="en-US"/>
        </w:rPr>
        <w:t>2015〕12号</w:t>
      </w:r>
      <w:r>
        <w:rPr>
          <w:rFonts w:hint="eastAsia"/>
          <w:lang w:bidi="en-US"/>
        </w:rPr>
        <w:t>）；</w:t>
      </w:r>
    </w:p>
    <w:p>
      <w:pPr>
        <w:pStyle w:val="43"/>
        <w:ind w:firstLine="560"/>
        <w:rPr>
          <w:lang w:bidi="en-US"/>
        </w:rPr>
      </w:pPr>
      <w:r>
        <w:rPr>
          <w:rFonts w:hint="eastAsia"/>
          <w:lang w:bidi="en-US"/>
        </w:rPr>
        <w:t>（17</w:t>
      </w:r>
      <w:r>
        <w:rPr>
          <w:lang w:bidi="en-US"/>
        </w:rPr>
        <w:t xml:space="preserve">）《中共云南省委、云南省人民政府关于贯彻乡村振兴战略的实施意见》（云发〔2018〕1 号）。 </w:t>
      </w:r>
    </w:p>
    <w:p>
      <w:pPr>
        <w:pStyle w:val="43"/>
        <w:ind w:firstLine="560"/>
        <w:rPr>
          <w:lang w:bidi="en-US"/>
        </w:rPr>
      </w:pPr>
      <w:r>
        <w:rPr>
          <w:rFonts w:hint="eastAsia"/>
          <w:lang w:bidi="en-US"/>
        </w:rPr>
        <w:t>（18</w:t>
      </w:r>
      <w:r>
        <w:rPr>
          <w:lang w:bidi="en-US"/>
        </w:rPr>
        <w:t xml:space="preserve">）《云南省自然资源厅关于印发&lt;云南省国土空间规划 2020 年工作要点&gt;的通知》（云自然资空规〔2020〕161 号）。 </w:t>
      </w:r>
    </w:p>
    <w:p>
      <w:pPr>
        <w:pStyle w:val="43"/>
        <w:ind w:firstLine="560"/>
        <w:rPr>
          <w:lang w:bidi="en-US"/>
        </w:rPr>
      </w:pPr>
      <w:r>
        <w:rPr>
          <w:rFonts w:hint="eastAsia"/>
          <w:lang w:bidi="en-US"/>
        </w:rPr>
        <w:t>（19</w:t>
      </w:r>
      <w:r>
        <w:rPr>
          <w:lang w:bidi="en-US"/>
        </w:rPr>
        <w:t xml:space="preserve">）《云南省新建大中型水库移民后期扶持人口核定登记实施细则》（云政办发〔2008〕106 号）。 </w:t>
      </w:r>
    </w:p>
    <w:p>
      <w:pPr>
        <w:pStyle w:val="43"/>
        <w:ind w:firstLine="560"/>
        <w:rPr>
          <w:lang w:bidi="en-US"/>
        </w:rPr>
      </w:pPr>
      <w:r>
        <w:rPr>
          <w:rFonts w:hint="eastAsia"/>
          <w:lang w:bidi="en-US"/>
        </w:rPr>
        <w:t>（20</w:t>
      </w:r>
      <w:r>
        <w:rPr>
          <w:lang w:bidi="en-US"/>
        </w:rPr>
        <w:t xml:space="preserve">）《云南省移民开发局关于印发云南省大中型水库移民扶持基金项目管理办法的通知》（云移发〔2017〕171 号）。 </w:t>
      </w:r>
    </w:p>
    <w:p>
      <w:pPr>
        <w:pStyle w:val="43"/>
        <w:ind w:firstLine="560"/>
        <w:rPr>
          <w:lang w:bidi="en-US"/>
        </w:rPr>
      </w:pPr>
      <w:r>
        <w:rPr>
          <w:rFonts w:hint="eastAsia"/>
          <w:lang w:bidi="en-US"/>
        </w:rPr>
        <w:t>（</w:t>
      </w:r>
      <w:r>
        <w:rPr>
          <w:lang w:bidi="en-US"/>
        </w:rPr>
        <w:t>2</w:t>
      </w:r>
      <w:r>
        <w:rPr>
          <w:rFonts w:hint="eastAsia"/>
          <w:lang w:bidi="en-US"/>
        </w:rPr>
        <w:t>1</w:t>
      </w:r>
      <w:r>
        <w:rPr>
          <w:lang w:bidi="en-US"/>
        </w:rPr>
        <w:t>）</w:t>
      </w:r>
      <w:r>
        <w:rPr>
          <w:rFonts w:hint="eastAsia"/>
          <w:lang w:bidi="en-US"/>
        </w:rPr>
        <w:t>《云南省搬迁安置办公室关于大中型水利水电工程移民搬迁安置和后期扶持“十四五”规划编制工作的指导意见》（云搬发〔</w:t>
      </w:r>
      <w:r>
        <w:rPr>
          <w:lang w:bidi="en-US"/>
        </w:rPr>
        <w:t xml:space="preserve">2020〕83号）。 </w:t>
      </w:r>
    </w:p>
    <w:p>
      <w:pPr>
        <w:pStyle w:val="43"/>
        <w:ind w:firstLine="560"/>
        <w:rPr>
          <w:lang w:bidi="en-US"/>
        </w:rPr>
      </w:pPr>
      <w:r>
        <w:rPr>
          <w:rFonts w:hint="eastAsia"/>
          <w:lang w:bidi="en-US"/>
        </w:rPr>
        <w:t>（</w:t>
      </w:r>
      <w:r>
        <w:rPr>
          <w:lang w:bidi="en-US"/>
        </w:rPr>
        <w:t>2</w:t>
      </w:r>
      <w:r>
        <w:rPr>
          <w:rFonts w:hint="eastAsia"/>
          <w:lang w:bidi="en-US"/>
        </w:rPr>
        <w:t>2</w:t>
      </w:r>
      <w:r>
        <w:rPr>
          <w:lang w:bidi="en-US"/>
        </w:rPr>
        <w:t>）《云南省搬迁安置办公室关于大力推进美丽家园•移民新村建设的通知》（云搬发〔2020〕10 号）。</w:t>
      </w:r>
    </w:p>
    <w:p>
      <w:pPr>
        <w:pStyle w:val="43"/>
        <w:ind w:firstLine="560"/>
        <w:rPr>
          <w:lang w:bidi="en-US"/>
        </w:rPr>
      </w:pPr>
      <w:r>
        <w:rPr>
          <w:rFonts w:hint="eastAsia"/>
          <w:lang w:bidi="en-US"/>
        </w:rPr>
        <w:t>（23）《楚雄州搬迁安置办公室关于楚雄州大中型水利水电工程移民搬迁和后期扶持十四五规划要点的通知》（楚搬发〔</w:t>
      </w:r>
      <w:r>
        <w:rPr>
          <w:lang w:bidi="en-US"/>
        </w:rPr>
        <w:t>2020〕10号</w:t>
      </w:r>
      <w:r>
        <w:rPr>
          <w:rFonts w:hint="eastAsia"/>
          <w:lang w:bidi="en-US"/>
        </w:rPr>
        <w:t>）；</w:t>
      </w:r>
    </w:p>
    <w:p>
      <w:pPr>
        <w:pStyle w:val="43"/>
        <w:ind w:firstLine="560"/>
        <w:rPr>
          <w:lang w:bidi="en-US"/>
        </w:rPr>
      </w:pPr>
      <w:r>
        <w:rPr>
          <w:rFonts w:hint="eastAsia"/>
          <w:lang w:bidi="en-US"/>
        </w:rPr>
        <w:t>（</w:t>
      </w:r>
      <w:r>
        <w:rPr>
          <w:lang w:bidi="en-US"/>
        </w:rPr>
        <w:t>2</w:t>
      </w:r>
      <w:r>
        <w:rPr>
          <w:rFonts w:hint="eastAsia"/>
          <w:lang w:bidi="en-US"/>
        </w:rPr>
        <w:t>4）元谋县地区国民经济和社会发展“十四五”规划、国土空间规划、乡村振兴战略规划、产业发展规划、三年滚动财政规划和政府投资规划、其他相关专项规划、重大计划和重要工作方案等；</w:t>
      </w:r>
    </w:p>
    <w:p>
      <w:pPr>
        <w:pStyle w:val="43"/>
        <w:ind w:firstLine="560"/>
        <w:rPr>
          <w:lang w:bidi="en-US"/>
        </w:rPr>
      </w:pPr>
      <w:r>
        <w:rPr>
          <w:rFonts w:hint="eastAsia"/>
          <w:lang w:bidi="en-US"/>
        </w:rPr>
        <w:t>（25）其他相关文件资料。</w:t>
      </w:r>
    </w:p>
    <w:p>
      <w:pPr>
        <w:pStyle w:val="3"/>
        <w:rPr>
          <w:rFonts w:hAnsi="Times New Roman" w:cs="Times New Roman"/>
          <w:szCs w:val="36"/>
        </w:rPr>
      </w:pPr>
      <w:bookmarkStart w:id="33" w:name="_Toc86914817"/>
      <w:r>
        <w:rPr>
          <w:rFonts w:hAnsi="Times New Roman" w:cs="Times New Roman"/>
          <w:szCs w:val="36"/>
        </w:rPr>
        <w:t>2.4</w:t>
      </w:r>
      <w:r>
        <w:rPr>
          <w:rFonts w:hint="eastAsia" w:hAnsi="Times New Roman" w:cs="Times New Roman"/>
          <w:szCs w:val="36"/>
        </w:rPr>
        <w:t>　规划范围</w:t>
      </w:r>
      <w:bookmarkEnd w:id="33"/>
    </w:p>
    <w:p>
      <w:pPr>
        <w:pStyle w:val="43"/>
        <w:ind w:firstLine="560"/>
        <w:rPr>
          <w:lang w:bidi="en-US"/>
        </w:rPr>
      </w:pPr>
      <w:r>
        <w:rPr>
          <w:rFonts w:hint="eastAsia"/>
          <w:lang w:bidi="en-US"/>
        </w:rPr>
        <w:t>规划范围为元谋县大中型水库库区和移民安置区。其中，移民每人每年600元扶持资金，采取直补发放方式的，规划范围不超出后期扶持人口；采取项目扶持方式的规划范围原则上限于移民所在的村（自然村）。具体范围包括：</w:t>
      </w:r>
    </w:p>
    <w:p>
      <w:pPr>
        <w:pStyle w:val="43"/>
        <w:ind w:firstLine="560"/>
        <w:rPr>
          <w:lang w:bidi="en-US"/>
        </w:rPr>
      </w:pPr>
      <w:r>
        <w:rPr>
          <w:rFonts w:hint="eastAsia"/>
          <w:lang w:bidi="en-US"/>
        </w:rPr>
        <w:t>大中型水库库区：主要涉及乌东德水库</w:t>
      </w:r>
      <w:r>
        <w:rPr>
          <w:lang w:bidi="en-US"/>
        </w:rPr>
        <w:t>库区。</w:t>
      </w:r>
    </w:p>
    <w:p>
      <w:pPr>
        <w:pStyle w:val="43"/>
        <w:ind w:firstLine="560"/>
        <w:rPr>
          <w:lang w:bidi="en-US"/>
        </w:rPr>
      </w:pPr>
      <w:r>
        <w:rPr>
          <w:rFonts w:hint="eastAsia"/>
          <w:lang w:bidi="en-US"/>
        </w:rPr>
        <w:t>农村移民安置区：涉及全县</w:t>
      </w:r>
      <w:r>
        <w:rPr>
          <w:lang w:bidi="en-US"/>
        </w:rPr>
        <w:t>8</w:t>
      </w:r>
      <w:r>
        <w:rPr>
          <w:rFonts w:hint="eastAsia"/>
          <w:lang w:bidi="en-US"/>
        </w:rPr>
        <w:t>个乡（镇）</w:t>
      </w:r>
      <w:r>
        <w:rPr>
          <w:lang w:bidi="en-US"/>
        </w:rPr>
        <w:t>50</w:t>
      </w:r>
      <w:r>
        <w:rPr>
          <w:rFonts w:hint="eastAsia"/>
          <w:lang w:bidi="en-US"/>
        </w:rPr>
        <w:t>个村（社区）</w:t>
      </w:r>
      <w:r>
        <w:rPr>
          <w:lang w:bidi="en-US"/>
        </w:rPr>
        <w:t>183</w:t>
      </w:r>
      <w:r>
        <w:rPr>
          <w:rFonts w:hint="eastAsia"/>
          <w:lang w:bidi="en-US"/>
        </w:rPr>
        <w:t>个村民小组。其中元马镇7433</w:t>
      </w:r>
      <w:r>
        <w:rPr>
          <w:lang w:bidi="en-US"/>
        </w:rPr>
        <w:t>人，</w:t>
      </w:r>
      <w:r>
        <w:rPr>
          <w:rFonts w:hint="eastAsia"/>
          <w:lang w:bidi="en-US"/>
        </w:rPr>
        <w:t>黄瓜园</w:t>
      </w:r>
      <w:r>
        <w:rPr>
          <w:lang w:bidi="en-US"/>
        </w:rPr>
        <w:t>镇</w:t>
      </w:r>
      <w:r>
        <w:rPr>
          <w:rFonts w:hint="eastAsia"/>
          <w:lang w:bidi="en-US"/>
        </w:rPr>
        <w:t>213</w:t>
      </w:r>
      <w:r>
        <w:rPr>
          <w:lang w:bidi="en-US"/>
        </w:rPr>
        <w:t>人，</w:t>
      </w:r>
      <w:r>
        <w:rPr>
          <w:rFonts w:hint="eastAsia"/>
          <w:lang w:bidi="en-US"/>
        </w:rPr>
        <w:t>江边乡3843</w:t>
      </w:r>
      <w:r>
        <w:rPr>
          <w:lang w:bidi="en-US"/>
        </w:rPr>
        <w:t>人，</w:t>
      </w:r>
      <w:r>
        <w:rPr>
          <w:rFonts w:hint="eastAsia"/>
          <w:lang w:bidi="en-US"/>
        </w:rPr>
        <w:t>老城乡1655</w:t>
      </w:r>
      <w:r>
        <w:rPr>
          <w:lang w:bidi="en-US"/>
        </w:rPr>
        <w:t>人，</w:t>
      </w:r>
      <w:r>
        <w:rPr>
          <w:rFonts w:hint="eastAsia"/>
          <w:lang w:bidi="en-US"/>
        </w:rPr>
        <w:t>平田乡359</w:t>
      </w:r>
      <w:r>
        <w:rPr>
          <w:lang w:bidi="en-US"/>
        </w:rPr>
        <w:t>人，</w:t>
      </w:r>
      <w:r>
        <w:rPr>
          <w:rFonts w:hint="eastAsia"/>
          <w:lang w:bidi="en-US"/>
        </w:rPr>
        <w:t>物茂乡57</w:t>
      </w:r>
      <w:r>
        <w:rPr>
          <w:lang w:bidi="en-US"/>
        </w:rPr>
        <w:t>人，</w:t>
      </w:r>
      <w:r>
        <w:rPr>
          <w:rFonts w:hint="eastAsia"/>
          <w:lang w:bidi="en-US"/>
        </w:rPr>
        <w:t>新华乡452</w:t>
      </w:r>
      <w:r>
        <w:rPr>
          <w:lang w:bidi="en-US"/>
        </w:rPr>
        <w:t>人，</w:t>
      </w:r>
      <w:r>
        <w:rPr>
          <w:rFonts w:hint="eastAsia"/>
          <w:lang w:bidi="en-US"/>
        </w:rPr>
        <w:t>羊街</w:t>
      </w:r>
      <w:r>
        <w:rPr>
          <w:lang w:bidi="en-US"/>
        </w:rPr>
        <w:t>镇</w:t>
      </w:r>
      <w:r>
        <w:rPr>
          <w:rFonts w:hint="eastAsia"/>
          <w:lang w:bidi="en-US"/>
        </w:rPr>
        <w:t>2</w:t>
      </w:r>
      <w:r>
        <w:rPr>
          <w:lang w:bidi="en-US"/>
        </w:rPr>
        <w:t>人。</w:t>
      </w:r>
    </w:p>
    <w:p>
      <w:pPr>
        <w:pStyle w:val="43"/>
        <w:ind w:firstLine="560"/>
        <w:rPr>
          <w:lang w:bidi="en-US"/>
        </w:rPr>
      </w:pPr>
      <w:r>
        <w:rPr>
          <w:rFonts w:hint="eastAsia"/>
          <w:lang w:bidi="en-US"/>
        </w:rPr>
        <w:t>大中型水库移民后期扶持基金直接发放规划涉及全县</w:t>
      </w:r>
      <w:r>
        <w:rPr>
          <w:lang w:bidi="en-US"/>
        </w:rPr>
        <w:t>8</w:t>
      </w:r>
      <w:r>
        <w:rPr>
          <w:rFonts w:hint="eastAsia"/>
          <w:lang w:bidi="en-US"/>
        </w:rPr>
        <w:t>个乡（镇）</w:t>
      </w:r>
      <w:r>
        <w:rPr>
          <w:lang w:bidi="en-US"/>
        </w:rPr>
        <w:t>50</w:t>
      </w:r>
      <w:r>
        <w:rPr>
          <w:rFonts w:hint="eastAsia"/>
          <w:lang w:bidi="en-US"/>
        </w:rPr>
        <w:t>个村（社区）</w:t>
      </w:r>
      <w:r>
        <w:rPr>
          <w:lang w:bidi="en-US"/>
        </w:rPr>
        <w:t>183</w:t>
      </w:r>
      <w:r>
        <w:rPr>
          <w:rFonts w:hint="eastAsia"/>
          <w:lang w:bidi="en-US"/>
        </w:rPr>
        <w:t>个村民小组，涉及移民14014</w:t>
      </w:r>
      <w:r>
        <w:rPr>
          <w:lang w:bidi="en-US"/>
        </w:rPr>
        <w:t>人，其中基准年核定后扶人口</w:t>
      </w:r>
      <w:r>
        <w:rPr>
          <w:rFonts w:hint="eastAsia"/>
          <w:lang w:bidi="en-US"/>
        </w:rPr>
        <w:t>14014</w:t>
      </w:r>
      <w:r>
        <w:rPr>
          <w:lang w:bidi="en-US"/>
        </w:rPr>
        <w:t>人，“十四五” 期间</w:t>
      </w:r>
      <w:r>
        <w:rPr>
          <w:rFonts w:hint="eastAsia"/>
          <w:lang w:bidi="en-US"/>
        </w:rPr>
        <w:t>无</w:t>
      </w:r>
      <w:r>
        <w:rPr>
          <w:lang w:bidi="en-US"/>
        </w:rPr>
        <w:t>新增直补人口</w:t>
      </w:r>
      <w:r>
        <w:rPr>
          <w:rFonts w:hint="eastAsia"/>
          <w:lang w:bidi="en-US"/>
        </w:rPr>
        <w:t>。</w:t>
      </w:r>
    </w:p>
    <w:p>
      <w:pPr>
        <w:pStyle w:val="43"/>
        <w:ind w:firstLine="560"/>
        <w:rPr>
          <w:lang w:bidi="en-US"/>
        </w:rPr>
      </w:pPr>
      <w:r>
        <w:rPr>
          <w:rFonts w:hint="eastAsia"/>
          <w:lang w:bidi="en-US"/>
        </w:rPr>
        <w:t>美丽家园建设规划主要涉及元马镇江洲村、金龙村，江边乡龙街村、大树村，黄瓜园镇牛街村，老城乡老城村、库南村。</w:t>
      </w:r>
    </w:p>
    <w:p>
      <w:pPr>
        <w:pStyle w:val="43"/>
        <w:ind w:firstLine="560"/>
        <w:rPr>
          <w:lang w:bidi="en-US"/>
        </w:rPr>
      </w:pPr>
      <w:r>
        <w:rPr>
          <w:rFonts w:hint="eastAsia"/>
          <w:lang w:bidi="en-US"/>
        </w:rPr>
        <w:t>产业转型升级规划涉及到全县8个乡镇50个村（社区）。</w:t>
      </w:r>
    </w:p>
    <w:p>
      <w:pPr>
        <w:pStyle w:val="3"/>
        <w:rPr>
          <w:rFonts w:hAnsi="Times New Roman" w:cs="Times New Roman"/>
          <w:szCs w:val="36"/>
        </w:rPr>
      </w:pPr>
      <w:bookmarkStart w:id="34" w:name="_Toc86914818"/>
      <w:r>
        <w:rPr>
          <w:rFonts w:hAnsi="Times New Roman" w:cs="Times New Roman"/>
          <w:szCs w:val="36"/>
        </w:rPr>
        <w:t>2.5</w:t>
      </w:r>
      <w:r>
        <w:rPr>
          <w:rFonts w:hint="eastAsia" w:hAnsi="Times New Roman" w:cs="Times New Roman"/>
          <w:szCs w:val="36"/>
        </w:rPr>
        <w:t>　规划期限</w:t>
      </w:r>
      <w:bookmarkEnd w:id="34"/>
    </w:p>
    <w:p>
      <w:pPr>
        <w:pStyle w:val="43"/>
        <w:ind w:firstLine="560"/>
        <w:rPr>
          <w:lang w:bidi="en-US"/>
        </w:rPr>
      </w:pPr>
      <w:r>
        <w:rPr>
          <w:rFonts w:hint="eastAsia"/>
          <w:lang w:bidi="en-US"/>
        </w:rPr>
        <w:t>本次“十四五”规划期限为</w:t>
      </w:r>
      <w:r>
        <w:rPr>
          <w:lang w:bidi="en-US"/>
        </w:rPr>
        <w:t>2021-2025</w:t>
      </w:r>
      <w:r>
        <w:rPr>
          <w:rFonts w:hint="eastAsia"/>
          <w:lang w:bidi="en-US"/>
        </w:rPr>
        <w:t>年。规划基准年为</w:t>
      </w:r>
      <w:r>
        <w:rPr>
          <w:lang w:bidi="en-US"/>
        </w:rPr>
        <w:t>202</w:t>
      </w:r>
      <w:r>
        <w:rPr>
          <w:rFonts w:hint="eastAsia"/>
          <w:lang w:bidi="en-US"/>
        </w:rPr>
        <w:t>0年，规划水平年为</w:t>
      </w:r>
      <w:r>
        <w:rPr>
          <w:lang w:bidi="en-US"/>
        </w:rPr>
        <w:t>2025</w:t>
      </w:r>
      <w:r>
        <w:rPr>
          <w:rFonts w:hint="eastAsia"/>
          <w:lang w:bidi="en-US"/>
        </w:rPr>
        <w:t>年。</w:t>
      </w:r>
    </w:p>
    <w:p>
      <w:pPr>
        <w:pStyle w:val="3"/>
        <w:rPr>
          <w:rFonts w:hAnsi="Times New Roman" w:cs="Times New Roman"/>
          <w:szCs w:val="36"/>
        </w:rPr>
      </w:pPr>
      <w:bookmarkStart w:id="35" w:name="_Toc86914819"/>
      <w:r>
        <w:rPr>
          <w:rFonts w:hAnsi="Times New Roman" w:cs="Times New Roman"/>
          <w:szCs w:val="36"/>
        </w:rPr>
        <w:t>2.6</w:t>
      </w:r>
      <w:r>
        <w:rPr>
          <w:rFonts w:hint="eastAsia" w:hAnsi="Times New Roman" w:cs="Times New Roman"/>
          <w:szCs w:val="36"/>
        </w:rPr>
        <w:t>　规划目标</w:t>
      </w:r>
      <w:bookmarkEnd w:id="35"/>
    </w:p>
    <w:p>
      <w:pPr>
        <w:pStyle w:val="43"/>
        <w:ind w:firstLine="560"/>
        <w:rPr>
          <w:lang w:bidi="en-US"/>
        </w:rPr>
      </w:pPr>
      <w:r>
        <w:rPr>
          <w:rFonts w:hint="eastAsia"/>
          <w:lang w:bidi="en-US"/>
        </w:rPr>
        <w:t>为促进移民生产生活条件得到根本改善，库区和移民安置区同步实现全面建成小康社会，并全面融入元谋县创建为云南省全域旅游示范区的整体发展格局中。具体目标为到</w:t>
      </w:r>
      <w:r>
        <w:rPr>
          <w:lang w:bidi="en-US"/>
        </w:rPr>
        <w:t>2025</w:t>
      </w:r>
      <w:r>
        <w:rPr>
          <w:rFonts w:hint="eastAsia"/>
          <w:lang w:bidi="en-US"/>
        </w:rPr>
        <w:t>年将元谋县库区和移民安置区建设成为社会和谐稳定，移民发展动力更足、增收渠道更宽、产业效益更高、人居环境更美、生活品质更优的移民能安居乐业的家园、康养休闲的乐园。</w:t>
      </w:r>
    </w:p>
    <w:p>
      <w:pPr>
        <w:pStyle w:val="43"/>
        <w:ind w:firstLine="560"/>
        <w:rPr>
          <w:lang w:bidi="en-US"/>
        </w:rPr>
      </w:pPr>
      <w:r>
        <w:rPr>
          <w:rFonts w:hint="eastAsia"/>
          <w:lang w:bidi="en-US"/>
        </w:rPr>
        <w:t>根据元谋县移民村的发展现状，通过发放直补资金，从产业转型升级、美丽家园</w:t>
      </w:r>
      <w:r>
        <w:rPr>
          <w:rFonts w:hint="eastAsia" w:ascii="宋体" w:hAnsi="宋体" w:eastAsia="宋体"/>
          <w:lang w:bidi="en-US"/>
        </w:rPr>
        <w:t>•</w:t>
      </w:r>
      <w:r>
        <w:rPr>
          <w:rFonts w:hint="eastAsia"/>
          <w:lang w:bidi="en-US"/>
        </w:rPr>
        <w:t>移民新村建设、就业创业培训等多方面提出规划的分类考核目标。促进移民收入持续稳定增长，总体达到当地农村平均水平；库区和安置区基础设施人居环境明显改善，基础设施和公共服务设施进一步完善，移民村社会治理能力得到提升，规划目标详见后扶附表</w:t>
      </w:r>
      <w:r>
        <w:rPr>
          <w:lang w:bidi="en-US"/>
        </w:rPr>
        <w:t xml:space="preserve"> 2-2，具体目标如下：</w:t>
      </w:r>
    </w:p>
    <w:p>
      <w:pPr>
        <w:pStyle w:val="43"/>
        <w:ind w:firstLine="560"/>
        <w:rPr>
          <w:lang w:bidi="en-US"/>
        </w:rPr>
      </w:pPr>
      <w:r>
        <w:rPr>
          <w:rFonts w:hint="eastAsia"/>
          <w:lang w:bidi="en-US"/>
        </w:rPr>
        <w:t>（</w:t>
      </w:r>
      <w:r>
        <w:rPr>
          <w:lang w:bidi="en-US"/>
        </w:rPr>
        <w:t>1）建成美丽家园</w:t>
      </w:r>
      <w:r>
        <w:rPr>
          <w:rFonts w:hint="eastAsia"/>
          <w:lang w:bidi="en-US"/>
        </w:rPr>
        <w:t>3</w:t>
      </w:r>
      <w:r>
        <w:rPr>
          <w:lang w:bidi="en-US"/>
        </w:rPr>
        <w:t>个（约束性指标），其中：村庄绿化、美化率达到</w:t>
      </w:r>
      <w:r>
        <w:rPr>
          <w:rFonts w:hint="eastAsia"/>
          <w:lang w:bidi="en-US"/>
        </w:rPr>
        <w:t>8</w:t>
      </w:r>
      <w:r>
        <w:rPr>
          <w:lang w:bidi="en-US"/>
        </w:rPr>
        <w:t>0%（预期性指标），道路硬化率达到</w:t>
      </w:r>
      <w:r>
        <w:rPr>
          <w:rFonts w:hint="eastAsia"/>
          <w:lang w:bidi="en-US"/>
        </w:rPr>
        <w:t>8</w:t>
      </w:r>
      <w:r>
        <w:rPr>
          <w:lang w:bidi="en-US"/>
        </w:rPr>
        <w:t>0%（预期性指标），污水收集处理率达到</w:t>
      </w:r>
      <w:r>
        <w:rPr>
          <w:rFonts w:hint="eastAsia"/>
          <w:lang w:bidi="en-US"/>
        </w:rPr>
        <w:t>9</w:t>
      </w:r>
      <w:r>
        <w:rPr>
          <w:lang w:bidi="en-US"/>
        </w:rPr>
        <w:t>0%（预期性指标），基本公共服务设施配套达到</w:t>
      </w:r>
      <w:r>
        <w:rPr>
          <w:rFonts w:hint="eastAsia"/>
          <w:lang w:bidi="en-US"/>
        </w:rPr>
        <w:t>7</w:t>
      </w:r>
      <w:r>
        <w:rPr>
          <w:lang w:bidi="en-US"/>
        </w:rPr>
        <w:t>0%（预期性指标），群众满意度达到85%（预期性指标）。</w:t>
      </w:r>
    </w:p>
    <w:p>
      <w:pPr>
        <w:pStyle w:val="43"/>
        <w:ind w:firstLine="560"/>
        <w:rPr>
          <w:lang w:bidi="en-US"/>
        </w:rPr>
      </w:pPr>
      <w:r>
        <w:rPr>
          <w:rFonts w:hint="eastAsia"/>
          <w:lang w:bidi="en-US"/>
        </w:rPr>
        <w:t>（</w:t>
      </w:r>
      <w:r>
        <w:rPr>
          <w:lang w:bidi="en-US"/>
        </w:rPr>
        <w:t>2）通过实施产业转型升级项目，使得</w:t>
      </w:r>
      <w:r>
        <w:rPr>
          <w:rFonts w:hint="eastAsia"/>
          <w:lang w:bidi="en-US"/>
        </w:rPr>
        <w:t>移民人均可支配收入达到</w:t>
      </w:r>
      <w:r>
        <w:rPr>
          <w:lang w:bidi="en-US"/>
        </w:rPr>
        <w:t>1</w:t>
      </w:r>
      <w:r>
        <w:rPr>
          <w:rFonts w:hint="eastAsia"/>
          <w:lang w:bidi="en-US"/>
        </w:rPr>
        <w:t>5862</w:t>
      </w:r>
      <w:r>
        <w:rPr>
          <w:lang w:bidi="en-US"/>
        </w:rPr>
        <w:t>元（约束性指标），达到全县人民可支配收入水平；产业扶持移民村达到</w:t>
      </w:r>
      <w:r>
        <w:rPr>
          <w:rFonts w:hint="eastAsia"/>
          <w:lang w:bidi="en-US"/>
        </w:rPr>
        <w:t>3</w:t>
      </w:r>
      <w:r>
        <w:rPr>
          <w:lang w:bidi="en-US"/>
        </w:rPr>
        <w:t>个（预期性指标），收益增长率达到 6%（预期性指标），移民覆盖率达到 80%（预期性指标），群众满意度达到85%（预期性指标）。</w:t>
      </w:r>
    </w:p>
    <w:p>
      <w:pPr>
        <w:pStyle w:val="43"/>
        <w:ind w:firstLine="560"/>
        <w:rPr>
          <w:rFonts w:eastAsia="黑体"/>
          <w:bCs/>
          <w:color w:val="000000" w:themeColor="text1"/>
          <w:sz w:val="24"/>
          <w14:textFill>
            <w14:solidFill>
              <w14:schemeClr w14:val="tx1"/>
            </w14:solidFill>
          </w14:textFill>
        </w:rPr>
      </w:pPr>
      <w:r>
        <w:rPr>
          <w:rFonts w:hint="eastAsia"/>
          <w:lang w:bidi="en-US"/>
        </w:rPr>
        <w:t>（</w:t>
      </w:r>
      <w:r>
        <w:rPr>
          <w:lang w:bidi="en-US"/>
        </w:rPr>
        <w:t>3）通过</w:t>
      </w:r>
      <w:r>
        <w:rPr>
          <w:rFonts w:hint="eastAsia"/>
          <w:lang w:bidi="en-US"/>
        </w:rPr>
        <w:t>移民</w:t>
      </w:r>
      <w:r>
        <w:rPr>
          <w:lang w:bidi="en-US"/>
        </w:rPr>
        <w:t>创业就业能力建设和就业扶持，移民劳动力培训达到</w:t>
      </w:r>
      <w:r>
        <w:rPr>
          <w:rFonts w:hint="eastAsia"/>
          <w:lang w:bidi="en-US"/>
        </w:rPr>
        <w:t>60%</w:t>
      </w:r>
      <w:r>
        <w:rPr>
          <w:lang w:bidi="en-US"/>
        </w:rPr>
        <w:t>（预期性指标）</w:t>
      </w:r>
      <w:r>
        <w:rPr>
          <w:rFonts w:hint="eastAsia"/>
          <w:lang w:bidi="en-US"/>
        </w:rPr>
        <w:t>，移民稳定就业1</w:t>
      </w:r>
      <w:r>
        <w:rPr>
          <w:lang w:bidi="en-US"/>
        </w:rPr>
        <w:t>000</w:t>
      </w:r>
      <w:r>
        <w:rPr>
          <w:rFonts w:hint="eastAsia"/>
          <w:lang w:bidi="en-US"/>
        </w:rPr>
        <w:t>人次</w:t>
      </w:r>
      <w:r>
        <w:rPr>
          <w:lang w:bidi="en-US"/>
        </w:rPr>
        <w:t>。</w:t>
      </w:r>
    </w:p>
    <w:p>
      <w:pPr>
        <w:ind w:firstLine="240" w:firstLineChars="100"/>
        <w:rPr>
          <w:rFonts w:ascii="Times New Roman" w:hAnsi="Times New Roman" w:eastAsia="黑体" w:cs="Times New Roman"/>
          <w:color w:val="000000" w:themeColor="text1"/>
          <w:sz w:val="24"/>
          <w:szCs w:val="24"/>
          <w14:textFill>
            <w14:solidFill>
              <w14:schemeClr w14:val="tx1"/>
            </w14:solidFill>
          </w14:textFill>
        </w:rPr>
      </w:pPr>
    </w:p>
    <w:p>
      <w:pPr>
        <w:ind w:firstLine="560" w:firstLineChars="200"/>
        <w:contextualSpacing/>
        <w:rPr>
          <w:rFonts w:ascii="Times New Roman" w:hAnsi="Times New Roman" w:cs="Times New Roman"/>
        </w:rPr>
      </w:pPr>
    </w:p>
    <w:p>
      <w:pPr>
        <w:ind w:firstLine="560" w:firstLineChars="200"/>
        <w:contextualSpacing/>
        <w:rPr>
          <w:rFonts w:ascii="Times New Roman" w:hAnsi="Times New Roman" w:cs="Times New Roman"/>
        </w:rPr>
        <w:sectPr>
          <w:type w:val="nextColumn"/>
          <w:pgSz w:w="11906" w:h="16838"/>
          <w:pgMar w:top="1616" w:right="1418" w:bottom="1616" w:left="1418" w:header="907" w:footer="1304" w:gutter="0"/>
          <w:cols w:space="425" w:num="1"/>
          <w:docGrid w:type="lines" w:linePitch="312" w:charSpace="0"/>
        </w:sectPr>
      </w:pPr>
    </w:p>
    <w:p>
      <w:pPr>
        <w:pStyle w:val="2"/>
        <w:rPr>
          <w:rFonts w:hAnsi="Times New Roman" w:cs="Times New Roman"/>
        </w:rPr>
      </w:pPr>
      <w:bookmarkStart w:id="36" w:name="_Toc86914820"/>
      <w:r>
        <w:rPr>
          <w:rFonts w:hAnsi="Times New Roman" w:cs="Times New Roman"/>
        </w:rPr>
        <w:t>3</w:t>
      </w:r>
      <w:r>
        <w:rPr>
          <w:rFonts w:hint="eastAsia" w:hAnsi="Times New Roman" w:cs="Times New Roman"/>
        </w:rPr>
        <w:t>　规划思路</w:t>
      </w:r>
      <w:bookmarkEnd w:id="36"/>
    </w:p>
    <w:p>
      <w:pPr>
        <w:pStyle w:val="43"/>
        <w:ind w:firstLine="560"/>
        <w:rPr>
          <w:lang w:bidi="en-US"/>
        </w:rPr>
      </w:pPr>
      <w:r>
        <w:rPr>
          <w:lang w:bidi="en-US"/>
        </w:rPr>
        <w:t>移民后期扶持规划以解决元谋县移民发展的主要矛盾、突出问题和满足移民群众对美好生活的更高需求为目标，深入挖掘元谋县地方民族文化特色，加强地方民族文化研究与旅游开发项目相结合。以建设美丽乡村，打造特色旅游为目标，以环境改善为基础，以村容村貌美化为重点，以大力发展乡村休闲、农事体验、农家乐、特色种养殖等乡村旅游产品为载体，以实施旅游产业带动就业和促进群众增收为方向；极力打造“少数民族文化”名片，按照市场需求和旅游要素的配套条件，把少数民族优秀传统文化具体化、产品化，衍生出具有市场吸引力和感召力的产品。</w:t>
      </w:r>
    </w:p>
    <w:p>
      <w:pPr>
        <w:pStyle w:val="43"/>
        <w:ind w:firstLine="560"/>
        <w:rPr>
          <w:highlight w:val="yellow"/>
          <w:lang w:bidi="en-US"/>
        </w:rPr>
      </w:pPr>
      <w:r>
        <w:rPr>
          <w:rFonts w:hint="eastAsia"/>
          <w:lang w:bidi="en-US"/>
        </w:rPr>
        <w:t>“</w:t>
      </w:r>
      <w:r>
        <w:rPr>
          <w:lang w:bidi="en-US"/>
        </w:rPr>
        <w:t>十三五</w:t>
      </w:r>
      <w:r>
        <w:rPr>
          <w:rFonts w:hint="eastAsia"/>
          <w:lang w:bidi="en-US"/>
        </w:rPr>
        <w:t>”</w:t>
      </w:r>
      <w:r>
        <w:rPr>
          <w:lang w:bidi="en-US"/>
        </w:rPr>
        <w:t>期间元谋县移民后扶工作确定的目标为基本解决贫困移民脱贫攻坚问题，保证移民人均收入持续稳定增长，总体达到当地农村居民平均水平；加强库区和移民安置区基础设施和生态环境建设，使农村移民生产生活条件得到根本改善。移民后扶工作的重点在于为移民的基本生产生活提供支持，对移民村产业发展扶持及美丽家园建设方面仍有待加强。</w:t>
      </w:r>
    </w:p>
    <w:p>
      <w:pPr>
        <w:pStyle w:val="43"/>
        <w:ind w:firstLine="560"/>
        <w:rPr>
          <w:lang w:bidi="en-US"/>
        </w:rPr>
      </w:pPr>
      <w:r>
        <w:rPr>
          <w:lang w:bidi="en-US"/>
        </w:rPr>
        <w:t>乡村振兴战略提出产业兴旺是基础和保障，后扶规划对接乡村振兴战略，要将产业摆在突出位置。在元谋县构建的以“</w:t>
      </w:r>
      <w:r>
        <w:rPr>
          <w:rFonts w:hint="eastAsia"/>
          <w:lang w:bidi="en-US"/>
        </w:rPr>
        <w:t>乡村</w:t>
      </w:r>
      <w:r>
        <w:rPr>
          <w:lang w:bidi="en-US"/>
        </w:rPr>
        <w:t>旅游+”为主导的现代服务业体系中，乡村生态游憩系列是旅游产品体系重要组成部分，包含了生态农业、绿色农业、村落民俗文化体验等内容。移民后扶“十四五”规划以元谋县发展全域旅游，构建“</w:t>
      </w:r>
      <w:r>
        <w:rPr>
          <w:rFonts w:hint="eastAsia"/>
          <w:lang w:bidi="en-US"/>
        </w:rPr>
        <w:t>乡村</w:t>
      </w:r>
      <w:r>
        <w:rPr>
          <w:lang w:bidi="en-US"/>
        </w:rPr>
        <w:t>旅游+”产业为主导的现代产业体系为指引，以移民村为扶持主体，依托丰富的特色民族文化及现有的旅游资源，全县联动发展，移民村结合自身特色差异化竞争，构建以移民村产业兴旺为基础的后扶格局。</w:t>
      </w:r>
    </w:p>
    <w:p>
      <w:pPr>
        <w:pStyle w:val="43"/>
        <w:ind w:firstLine="560"/>
        <w:rPr>
          <w:lang w:bidi="en-US"/>
        </w:rPr>
      </w:pPr>
      <w:r>
        <w:rPr>
          <w:rFonts w:hint="eastAsia"/>
          <w:lang w:bidi="en-US"/>
        </w:rPr>
        <w:t>元谋县涉及的水库中，乌东德水电站移民主要安置于集中安置点，人数较多且相对集中，其他老水库移民则分布散而广。</w:t>
      </w:r>
      <w:r>
        <w:rPr>
          <w:lang w:bidi="en-US"/>
        </w:rPr>
        <w:t>根据移民村不同功能片区的发展定位，结合移民后扶工作的特点，确定产业升级发展、美丽家园建设和就业创业培训三大方面的扶持内容。并在此基础上，针对每个功能片区的移民村现状特点，指出各移民村的发展方向与重点，统筹策划重大实施项目的资金安排和实施计划。</w:t>
      </w:r>
    </w:p>
    <w:p>
      <w:pPr>
        <w:pStyle w:val="54"/>
        <w:ind w:firstLine="560"/>
      </w:pPr>
      <w:r>
        <w:rPr>
          <w:rFonts w:hint="eastAsia"/>
        </w:rPr>
        <w:t>1）乌东德水电站后扶移民</w:t>
      </w:r>
    </w:p>
    <w:p>
      <w:pPr>
        <w:pStyle w:val="43"/>
        <w:ind w:firstLine="560"/>
        <w:rPr>
          <w:lang w:bidi="en-US"/>
        </w:rPr>
      </w:pPr>
      <w:r>
        <w:rPr>
          <w:rFonts w:hint="eastAsia"/>
          <w:lang w:bidi="en-US"/>
        </w:rPr>
        <w:t>（1）移民村现状分析</w:t>
      </w:r>
    </w:p>
    <w:p>
      <w:pPr>
        <w:pStyle w:val="43"/>
        <w:ind w:firstLine="560"/>
        <w:rPr>
          <w:lang w:bidi="en-US"/>
        </w:rPr>
      </w:pPr>
      <w:r>
        <w:rPr>
          <w:rFonts w:hint="eastAsia"/>
          <w:lang w:bidi="en-US"/>
        </w:rPr>
        <w:t>移民集中安置点属低纬高原季风气候区，光热资源条件好，雨热同季</w:t>
      </w:r>
      <w:r>
        <w:rPr>
          <w:lang w:bidi="en-US"/>
        </w:rPr>
        <w:t>,是</w:t>
      </w:r>
      <w:r>
        <w:rPr>
          <w:rFonts w:hint="eastAsia"/>
          <w:lang w:bidi="en-US"/>
        </w:rPr>
        <w:t>元谋县</w:t>
      </w:r>
      <w:r>
        <w:rPr>
          <w:lang w:bidi="en-US"/>
        </w:rPr>
        <w:t>农业生产条件较为优越的地区。土地类型、气候条件、生态条件、物种呈多样性，有光热资源优厚的热坝</w:t>
      </w:r>
      <w:r>
        <w:rPr>
          <w:rFonts w:hint="eastAsia"/>
          <w:lang w:bidi="en-US"/>
        </w:rPr>
        <w:t>，</w:t>
      </w:r>
      <w:r>
        <w:rPr>
          <w:lang w:bidi="en-US"/>
        </w:rPr>
        <w:t>气候湿润的城效丘陵</w:t>
      </w:r>
      <w:r>
        <w:rPr>
          <w:rFonts w:hint="eastAsia"/>
          <w:lang w:bidi="en-US"/>
        </w:rPr>
        <w:t>，</w:t>
      </w:r>
      <w:r>
        <w:rPr>
          <w:lang w:bidi="en-US"/>
        </w:rPr>
        <w:t>不同海拔高度的河谷山地</w:t>
      </w:r>
      <w:r>
        <w:rPr>
          <w:rFonts w:hint="eastAsia"/>
          <w:lang w:bidi="en-US"/>
        </w:rPr>
        <w:t>，</w:t>
      </w:r>
      <w:r>
        <w:rPr>
          <w:lang w:bidi="en-US"/>
        </w:rPr>
        <w:t>多样性自然资源与优越区位优势相结合</w:t>
      </w:r>
      <w:r>
        <w:rPr>
          <w:rFonts w:hint="eastAsia"/>
          <w:lang w:bidi="en-US"/>
        </w:rPr>
        <w:t>，</w:t>
      </w:r>
      <w:r>
        <w:rPr>
          <w:lang w:bidi="en-US"/>
        </w:rPr>
        <w:t xml:space="preserve">构筑了发展现代多功能农业的优势条件。 </w:t>
      </w:r>
    </w:p>
    <w:p>
      <w:pPr>
        <w:pStyle w:val="43"/>
        <w:ind w:firstLine="560"/>
        <w:rPr>
          <w:lang w:bidi="en-US"/>
        </w:rPr>
      </w:pPr>
      <w:r>
        <w:rPr>
          <w:rFonts w:hint="eastAsia"/>
          <w:lang w:bidi="en-US"/>
        </w:rPr>
        <w:t>移民集中安置点是在新的起点上建设美丽宜居乡村，具有新环境、新起点、新信息、新观念、新文化等特点，“一张白纸好画最美风景”。各安置点新村道路、供水、供电、卫生、医疗等基础设施建设标准高，而且新村建设坚持小规模、组团式、微田园、生态化，做到房前屋后瓜果梨桃、鸟语花香，展现美好田园风光，“望得见山、看得见水、记得住乡愁”的美丽宜居乡村为休闲农业的发展创造了条件。</w:t>
      </w:r>
    </w:p>
    <w:p>
      <w:pPr>
        <w:pStyle w:val="43"/>
        <w:ind w:firstLine="560"/>
        <w:rPr>
          <w:lang w:bidi="en-US"/>
        </w:rPr>
      </w:pPr>
      <w:r>
        <w:rPr>
          <w:rFonts w:hint="eastAsia"/>
          <w:lang w:bidi="en-US"/>
        </w:rPr>
        <w:t>金沙江沿岸地形地貌复杂多样，移民“大分散、小聚居”的自然居住格局使各民族间形成了相对孤立、各具特色的民族文化。</w:t>
      </w:r>
    </w:p>
    <w:p>
      <w:pPr>
        <w:pStyle w:val="43"/>
        <w:ind w:firstLine="560"/>
        <w:rPr>
          <w:lang w:bidi="en-US"/>
        </w:rPr>
      </w:pPr>
      <w:r>
        <w:rPr>
          <w:rFonts w:hint="eastAsia"/>
          <w:lang w:bidi="en-US"/>
        </w:rPr>
        <w:t>集中安置点的生产用地通过土地平整、机耕路及排灌溉系统建设、土壤改良等多项举措进行了土地开发整理，基本形成了“地成台、路成网、沟渠配套、涝能排、旱能灌”的高标准农田，为高效现代农业奠定了扎实的发展基础。</w:t>
      </w:r>
    </w:p>
    <w:p>
      <w:pPr>
        <w:pStyle w:val="43"/>
        <w:ind w:firstLine="560"/>
        <w:rPr>
          <w:lang w:bidi="en-US"/>
        </w:rPr>
      </w:pPr>
      <w:r>
        <w:rPr>
          <w:rFonts w:hint="eastAsia"/>
          <w:lang w:bidi="en-US"/>
        </w:rPr>
        <w:t>经过近</w:t>
      </w:r>
      <w:r>
        <w:rPr>
          <w:lang w:bidi="en-US"/>
        </w:rPr>
        <w:t xml:space="preserve"> 40 年培育，元谋蔬菜产业成为云南最大的冬早蔬菜主产区，特色果蔬产品具有规模大、品种多、产量高、品质优的特点，深受国内外消费者青睐，畅销国内 157 个大中城市，并出口到韩国、日本、俄罗斯、美国、欧盟及东南亚各国，蔬菜外销量占云南省冬早蔬菜出省外销的 1/4。被商务部、农业部列为</w:t>
      </w:r>
      <w:r>
        <w:rPr>
          <w:rFonts w:hint="eastAsia"/>
          <w:lang w:bidi="en-US"/>
        </w:rPr>
        <w:t>“</w:t>
      </w:r>
      <w:r>
        <w:rPr>
          <w:lang w:bidi="en-US"/>
        </w:rPr>
        <w:t>商品蔬菜基地</w:t>
      </w:r>
      <w:r>
        <w:rPr>
          <w:rFonts w:hint="eastAsia"/>
          <w:lang w:bidi="en-US"/>
        </w:rPr>
        <w:t>”</w:t>
      </w:r>
      <w:r>
        <w:rPr>
          <w:lang w:bidi="en-US"/>
        </w:rPr>
        <w:t>、</w:t>
      </w:r>
      <w:r>
        <w:rPr>
          <w:rFonts w:hint="eastAsia"/>
          <w:lang w:bidi="en-US"/>
        </w:rPr>
        <w:t>“</w:t>
      </w:r>
      <w:r>
        <w:rPr>
          <w:lang w:bidi="en-US"/>
        </w:rPr>
        <w:t>南菜北运基地</w:t>
      </w:r>
      <w:r>
        <w:rPr>
          <w:rFonts w:hint="eastAsia"/>
          <w:lang w:bidi="en-US"/>
        </w:rPr>
        <w:t>”</w:t>
      </w:r>
      <w:r>
        <w:rPr>
          <w:lang w:bidi="en-US"/>
        </w:rPr>
        <w:t>。近年来，元谋县借力土地流转开发步伐加快的趋势，积极引导农商发展葡萄、青枣、金丝枣、龙眼等特色经济林果，水果种植面积达</w:t>
      </w:r>
      <w:r>
        <w:rPr>
          <w:rFonts w:hint="eastAsia"/>
          <w:lang w:bidi="en-US"/>
        </w:rPr>
        <w:t>七万多</w:t>
      </w:r>
      <w:r>
        <w:rPr>
          <w:lang w:bidi="en-US"/>
        </w:rPr>
        <w:t>亩，已成为助农增收新的支柱立业之一。金沙江干热河谷地区是我</w:t>
      </w:r>
      <w:r>
        <w:rPr>
          <w:rFonts w:hint="eastAsia"/>
          <w:lang w:bidi="en-US"/>
        </w:rPr>
        <w:t>国海拔最高、纬度最北的芒果优势产区，</w:t>
      </w:r>
      <w:r>
        <w:rPr>
          <w:lang w:bidi="en-US"/>
        </w:rPr>
        <w:t>该区域光热资源丰富，昼夜温差大，无台风梅雨侵害，生产出的芒果艳丽美观、风味浓郁、可溶性固形物含量高，品质好，商品性强，成熟期</w:t>
      </w:r>
      <w:r>
        <w:rPr>
          <w:rFonts w:hint="eastAsia"/>
          <w:lang w:bidi="en-US"/>
        </w:rPr>
        <w:t>8-11</w:t>
      </w:r>
      <w:r>
        <w:rPr>
          <w:lang w:bidi="en-US"/>
        </w:rPr>
        <w:t>月</w:t>
      </w:r>
      <w:r>
        <w:rPr>
          <w:rFonts w:hint="eastAsia"/>
          <w:lang w:bidi="en-US"/>
        </w:rPr>
        <w:t>，</w:t>
      </w:r>
      <w:r>
        <w:rPr>
          <w:lang w:bidi="en-US"/>
        </w:rPr>
        <w:t>与海南、广东、广西、福建等芒果产区成熟期互补，形成了全国芒果周年供应模式。目前，金沙江干热河谷地区芒果种植面积已</w:t>
      </w:r>
      <w:r>
        <w:rPr>
          <w:rFonts w:hint="eastAsia"/>
          <w:lang w:bidi="en-US"/>
        </w:rPr>
        <w:t>达50</w:t>
      </w:r>
      <w:r>
        <w:rPr>
          <w:lang w:bidi="en-US"/>
        </w:rPr>
        <w:t xml:space="preserve">万亩左右，在华坪、攀枝花等重要产地已建成产加销一体化的规模化、集约化的芒果产业体系。 </w:t>
      </w:r>
    </w:p>
    <w:p>
      <w:pPr>
        <w:pStyle w:val="43"/>
        <w:ind w:firstLine="560"/>
        <w:rPr>
          <w:lang w:bidi="en-US"/>
        </w:rPr>
      </w:pPr>
      <w:r>
        <w:rPr>
          <w:rFonts w:hint="eastAsia"/>
          <w:lang w:bidi="en-US"/>
        </w:rPr>
        <w:t>（2）规划思路</w:t>
      </w:r>
    </w:p>
    <w:p>
      <w:pPr>
        <w:pStyle w:val="43"/>
        <w:ind w:firstLine="560"/>
        <w:rPr>
          <w:lang w:bidi="en-US"/>
        </w:rPr>
      </w:pPr>
      <w:r>
        <w:rPr>
          <w:rFonts w:hint="eastAsia"/>
          <w:lang w:bidi="en-US"/>
        </w:rPr>
        <w:t>乌东德水电站移民集中安置点的基础设施建设基础较好，瓦渣箐安置点及甘塘安置点的区位条件好，</w:t>
      </w:r>
      <w:r>
        <w:rPr>
          <w:lang w:bidi="en-US"/>
        </w:rPr>
        <w:t>具备成为城市后花园的优势。可加强城乡统一规划引导，加快基础设施互联互通，推进产业互融互补，促进公共服务共建共享，逐步强化服务城市发展、承接城市功能外溢、满足城市消费需求能力。利用区位等优势，发展农产品加工和乡村旅游，加快农村一二三产业融合发展；充分发挥资源优势和鲜明特色，规划建设特色花卉产业园</w:t>
      </w:r>
      <w:r>
        <w:rPr>
          <w:rFonts w:hint="eastAsia"/>
          <w:lang w:bidi="en-US"/>
        </w:rPr>
        <w:t>、</w:t>
      </w:r>
      <w:r>
        <w:rPr>
          <w:lang w:bidi="en-US"/>
        </w:rPr>
        <w:t>创意园</w:t>
      </w:r>
      <w:r>
        <w:rPr>
          <w:rFonts w:hint="eastAsia"/>
          <w:lang w:bidi="en-US"/>
        </w:rPr>
        <w:t>，</w:t>
      </w:r>
      <w:r>
        <w:rPr>
          <w:lang w:bidi="en-US"/>
        </w:rPr>
        <w:t>加速周边村落与特色小镇、园区融合发展，使其成为新型城镇化的重要纽带；在形态上保留乡村风貌、治理上体现城市水平，强化人口集聚，引导部分靠近城市的村庄逐步纳入城区范围或向新型农村社区转变。江边集镇的生态环境良好、自然风光优美、文化底蕴深厚、民族风情多样、乡土气息浓厚、产业资源独特的村庄，具有将康养</w:t>
      </w:r>
      <w:r>
        <w:rPr>
          <w:rFonts w:hint="eastAsia"/>
          <w:lang w:bidi="en-US"/>
        </w:rPr>
        <w:t>、</w:t>
      </w:r>
      <w:r>
        <w:rPr>
          <w:lang w:bidi="en-US"/>
        </w:rPr>
        <w:t>农业生态、人文资源优势转化为经济优势的区域，是彰显云南乡村特色的重要载体。可统筹保护、利用与发展的关系，遵循村庄发展机理，注重保持村庄的完整性、真实性和延续性。切实保护村庄的传统格局、风貌以及自然和田园景观等整体空间形态与环境，全面传承和保护农村非物质文化遗产，民族特色文化，展现历史文化名村和传统村落魅力；抓好民族文化静态保护和活态传承，尊重原住居民生活形态和传统习惯，突出民族村寨自然风貌、人文风俗保护；合理利用村庄特色资源，发展乡村康养旅游和特色产业，形成特色资源保护与村庄发展的良性互促机制。</w:t>
      </w:r>
    </w:p>
    <w:p>
      <w:pPr>
        <w:pStyle w:val="43"/>
        <w:ind w:firstLine="560"/>
        <w:rPr>
          <w:lang w:bidi="en-US"/>
        </w:rPr>
      </w:pPr>
      <w:r>
        <w:rPr>
          <w:rFonts w:hint="eastAsia"/>
          <w:lang w:bidi="en-US"/>
        </w:rPr>
        <w:t>充分发挥元谋“大菜园、大果园、大花园”的现代农业资源特色和比较优势，结合元谋热坝生态农业特色和果蔬基地发展，推动文化旅游产业与现代农业发展相结合，合理开发利用农业观光休闲和生态旅游资源，大力发展休闲农业、农村旅游、绿色食品和养身度假旅游等，支持移民村发掘自然资源优势或特色产品优势，壮大有区域特色、品牌优势的产业，延伸发展农副产品加工、保鲜、储运、包装等二三产业，促进移民持续增收。</w:t>
      </w:r>
    </w:p>
    <w:p>
      <w:pPr>
        <w:pStyle w:val="54"/>
        <w:ind w:firstLine="560"/>
      </w:pPr>
      <w:r>
        <w:rPr>
          <w:rFonts w:hint="eastAsia"/>
        </w:rPr>
        <w:t>2）老水库后扶移民</w:t>
      </w:r>
    </w:p>
    <w:p>
      <w:pPr>
        <w:pStyle w:val="43"/>
        <w:ind w:firstLine="560"/>
        <w:rPr>
          <w:lang w:bidi="en-US"/>
        </w:rPr>
      </w:pPr>
      <w:r>
        <w:rPr>
          <w:rFonts w:hint="eastAsia"/>
          <w:lang w:bidi="en-US"/>
        </w:rPr>
        <w:t>（1）移民村现状分析</w:t>
      </w:r>
    </w:p>
    <w:p>
      <w:pPr>
        <w:pStyle w:val="43"/>
        <w:ind w:firstLine="560"/>
        <w:rPr>
          <w:lang w:bidi="en-US"/>
        </w:rPr>
      </w:pPr>
      <w:r>
        <w:rPr>
          <w:lang w:bidi="en-US"/>
        </w:rPr>
        <w:t>老水库移民村较为分散</w:t>
      </w:r>
      <w:r>
        <w:rPr>
          <w:rFonts w:hint="eastAsia"/>
          <w:lang w:bidi="en-US"/>
        </w:rPr>
        <w:t>，存在少数集中安置点，但安置点人数均在200人以下，人口相对分散。老水库移民村各村内地形变化大，整体园地、农田分布散，现状以一产业为主，主要为烟草产业、高原特色蔬菜产业、畜禽养殖、中药材。</w:t>
      </w:r>
    </w:p>
    <w:p>
      <w:pPr>
        <w:pStyle w:val="43"/>
        <w:ind w:firstLine="560"/>
        <w:rPr>
          <w:lang w:bidi="en-US"/>
        </w:rPr>
      </w:pPr>
      <w:r>
        <w:rPr>
          <w:rFonts w:hint="eastAsia"/>
          <w:lang w:bidi="en-US"/>
        </w:rPr>
        <w:t>部分移民村庄风貌一般，部分村庄危房多，风格风貌不统一，整体质量较差。部分移民村组依靠</w:t>
      </w:r>
      <w:r>
        <w:rPr>
          <w:lang w:bidi="en-US"/>
        </w:rPr>
        <w:t>G5京昆高速与外连接，连通性较好，但村庄内部道路有待提档升级。基础设施的</w:t>
      </w:r>
      <w:r>
        <w:rPr>
          <w:rFonts w:hint="eastAsia"/>
          <w:lang w:bidi="en-US"/>
        </w:rPr>
        <w:t>整体建设情况一般，部分村组需进一步完善道路硬化、公共文化室、供水配套设施的建设。</w:t>
      </w:r>
    </w:p>
    <w:p>
      <w:pPr>
        <w:pStyle w:val="43"/>
        <w:ind w:firstLine="560"/>
        <w:rPr>
          <w:lang w:bidi="en-US"/>
        </w:rPr>
      </w:pPr>
      <w:r>
        <w:rPr>
          <w:lang w:bidi="en-US"/>
        </w:rPr>
        <w:t>在十三五后扶项目实施后</w:t>
      </w:r>
      <w:r>
        <w:rPr>
          <w:rFonts w:hint="eastAsia"/>
          <w:lang w:bidi="en-US"/>
        </w:rPr>
        <w:t>，</w:t>
      </w:r>
      <w:r>
        <w:rPr>
          <w:lang w:bidi="en-US"/>
        </w:rPr>
        <w:t>针对老水库移民的现状已取得了较好社会经济及生态成效，</w:t>
      </w:r>
      <w:r>
        <w:rPr>
          <w:rFonts w:hint="eastAsia"/>
          <w:lang w:bidi="en-US"/>
        </w:rPr>
        <w:t>但前迁后安的移民模式下，亦有着搬迁次数多、农产条件较弱、生态限制多、无系统乡村规划等一系列遗留问题。</w:t>
      </w:r>
    </w:p>
    <w:p>
      <w:pPr>
        <w:pStyle w:val="43"/>
        <w:ind w:firstLine="560"/>
        <w:rPr>
          <w:lang w:bidi="en-US"/>
        </w:rPr>
      </w:pPr>
      <w:r>
        <w:rPr>
          <w:rFonts w:hint="eastAsia"/>
          <w:lang w:bidi="en-US"/>
        </w:rPr>
        <w:t>（2）规划思路</w:t>
      </w:r>
    </w:p>
    <w:p>
      <w:pPr>
        <w:pStyle w:val="43"/>
        <w:ind w:firstLine="560"/>
        <w:rPr>
          <w:lang w:bidi="en-US"/>
        </w:rPr>
      </w:pPr>
      <w:r>
        <w:rPr>
          <w:lang w:bidi="en-US"/>
        </w:rPr>
        <w:t>以移民后扶和乡村振兴规划为要求，根据</w:t>
      </w:r>
      <w:r>
        <w:rPr>
          <w:rFonts w:hint="eastAsia"/>
          <w:lang w:bidi="en-US"/>
        </w:rPr>
        <w:t>老水库</w:t>
      </w:r>
      <w:r>
        <w:rPr>
          <w:lang w:bidi="en-US"/>
        </w:rPr>
        <w:t>移民村的村庄类型，确定主要从村庄风貌提升</w:t>
      </w:r>
      <w:r>
        <w:rPr>
          <w:rFonts w:hint="eastAsia"/>
          <w:lang w:bidi="en-US"/>
        </w:rPr>
        <w:t>、</w:t>
      </w:r>
      <w:r>
        <w:rPr>
          <w:lang w:bidi="en-US"/>
        </w:rPr>
        <w:t>基础设施完善等方面进行美丽家园的建设</w:t>
      </w:r>
      <w:r>
        <w:rPr>
          <w:rFonts w:hint="eastAsia"/>
          <w:lang w:bidi="en-US"/>
        </w:rPr>
        <w:t>。</w:t>
      </w:r>
    </w:p>
    <w:p>
      <w:pPr>
        <w:pStyle w:val="43"/>
        <w:ind w:firstLine="560"/>
        <w:rPr>
          <w:lang w:bidi="en-US"/>
        </w:rPr>
      </w:pPr>
      <w:r>
        <w:rPr>
          <w:lang w:bidi="en-US"/>
        </w:rPr>
        <w:t>以促进移民增收致富、引导移民村积极融入全域发展格局，形成产业带动发展为主导为目的，强化移民村生态、文化为核心，绿色农业为支撑的产业布局。针对该类移民村产业发展格局中，产业链不够完善的问题，构建移民村以乡村土地为基础，在现有的移民村产业发展基础上</w:t>
      </w:r>
      <w:r>
        <w:rPr>
          <w:rFonts w:hint="eastAsia"/>
          <w:lang w:bidi="en-US"/>
        </w:rPr>
        <w:t>，</w:t>
      </w:r>
      <w:r>
        <w:rPr>
          <w:lang w:bidi="en-US"/>
        </w:rPr>
        <w:t>积极完善产业发展服务链。</w:t>
      </w:r>
      <w:r>
        <w:rPr>
          <w:rFonts w:hint="eastAsia"/>
          <w:lang w:bidi="en-US"/>
        </w:rPr>
        <w:t>集中力量发展产业，补产业发展短板、促移民经济发展。</w:t>
      </w:r>
    </w:p>
    <w:p>
      <w:pPr>
        <w:pStyle w:val="43"/>
        <w:ind w:firstLine="560"/>
        <w:rPr>
          <w:lang w:bidi="en-US"/>
        </w:rPr>
      </w:pPr>
      <w:r>
        <w:rPr>
          <w:rFonts w:hint="eastAsia"/>
          <w:lang w:bidi="en-US"/>
        </w:rPr>
        <w:t>水库移民是库区和安置区发展的主体，要实现“能发展、可致富”的目标，关键是要增强移民的自我发展能力。“十四五”期间，以提升水库移民就业创业能力为中心，围绕产业发展和美丽家园建设需要，</w:t>
      </w:r>
      <w:r>
        <w:rPr>
          <w:lang w:bidi="en-US"/>
        </w:rPr>
        <w:t>针对性的对移民进行农业技能培训</w:t>
      </w:r>
      <w:r>
        <w:rPr>
          <w:rFonts w:hint="eastAsia"/>
          <w:lang w:bidi="en-US"/>
        </w:rPr>
        <w:t>、</w:t>
      </w:r>
      <w:r>
        <w:rPr>
          <w:lang w:bidi="en-US"/>
        </w:rPr>
        <w:t>创新创业能力培训等</w:t>
      </w:r>
      <w:r>
        <w:rPr>
          <w:rFonts w:hint="eastAsia"/>
          <w:lang w:bidi="en-US"/>
        </w:rPr>
        <w:t>，开展多层次、多渠道、多形式的技能培训、移民综合素质、行为习惯培训等，助推移民发展，</w:t>
      </w:r>
      <w:r>
        <w:rPr>
          <w:lang w:bidi="en-US"/>
        </w:rPr>
        <w:t>解决元谋县移民劳动力文化水平较低、就业能力较弱、创新意识不强等问题，服务于移民村产业发展和提升移民综合素质提高为目标。</w:t>
      </w:r>
    </w:p>
    <w:p>
      <w:pPr>
        <w:ind w:firstLine="560" w:firstLineChars="200"/>
        <w:contextualSpacing/>
        <w:rPr>
          <w:rFonts w:ascii="Times New Roman" w:hAnsi="Times New Roman" w:cs="Times New Roman"/>
          <w:color w:val="000000"/>
          <w:kern w:val="0"/>
          <w:szCs w:val="24"/>
          <w:lang w:bidi="en-US"/>
        </w:rPr>
      </w:pPr>
    </w:p>
    <w:p>
      <w:pPr>
        <w:spacing w:before="156"/>
        <w:rPr>
          <w:rFonts w:ascii="Times New Roman" w:cs="Times New Roman"/>
        </w:rPr>
        <w:sectPr>
          <w:pgSz w:w="11906" w:h="16838"/>
          <w:pgMar w:top="1616" w:right="1418" w:bottom="1616" w:left="1418" w:header="907" w:footer="1304" w:gutter="0"/>
          <w:cols w:space="425" w:num="1"/>
          <w:docGrid w:type="lines" w:linePitch="312" w:charSpace="0"/>
        </w:sectPr>
      </w:pPr>
    </w:p>
    <w:p>
      <w:pPr>
        <w:pStyle w:val="2"/>
        <w:rPr>
          <w:rFonts w:hAnsi="Times New Roman" w:cs="Times New Roman"/>
        </w:rPr>
      </w:pPr>
      <w:bookmarkStart w:id="37" w:name="_Toc86914821"/>
      <w:r>
        <w:rPr>
          <w:rFonts w:hAnsi="Times New Roman" w:cs="Times New Roman"/>
        </w:rPr>
        <w:t>4</w:t>
      </w:r>
      <w:r>
        <w:rPr>
          <w:rFonts w:hint="eastAsia" w:hAnsi="Times New Roman" w:cs="Times New Roman"/>
        </w:rPr>
        <w:t>　大中型水库移民后期扶持基金直接发放规划</w:t>
      </w:r>
      <w:bookmarkEnd w:id="37"/>
    </w:p>
    <w:p>
      <w:pPr>
        <w:pStyle w:val="3"/>
        <w:rPr>
          <w:rFonts w:hAnsi="Times New Roman" w:cs="Times New Roman"/>
          <w:szCs w:val="36"/>
        </w:rPr>
      </w:pPr>
      <w:bookmarkStart w:id="38" w:name="_Toc86914822"/>
      <w:r>
        <w:rPr>
          <w:rFonts w:hAnsi="Times New Roman" w:cs="Times New Roman"/>
          <w:szCs w:val="36"/>
        </w:rPr>
        <w:t>4.1</w:t>
      </w:r>
      <w:r>
        <w:rPr>
          <w:rFonts w:hint="eastAsia" w:hAnsi="Times New Roman" w:cs="Times New Roman"/>
          <w:szCs w:val="36"/>
        </w:rPr>
        <w:t>　大中型水库移民后期扶持对象</w:t>
      </w:r>
      <w:bookmarkEnd w:id="38"/>
    </w:p>
    <w:p>
      <w:pPr>
        <w:pStyle w:val="54"/>
        <w:ind w:firstLine="560"/>
      </w:pPr>
      <w:r>
        <w:rPr>
          <w:rFonts w:hint="eastAsia"/>
        </w:rPr>
        <w:t>（</w:t>
      </w:r>
      <w:r>
        <w:t>1）基准年后扶核定人口</w:t>
      </w:r>
    </w:p>
    <w:p>
      <w:pPr>
        <w:pStyle w:val="43"/>
        <w:ind w:firstLine="560"/>
        <w:rPr>
          <w:lang w:bidi="en-US"/>
        </w:rPr>
      </w:pPr>
      <w:r>
        <w:rPr>
          <w:rFonts w:hint="eastAsia"/>
          <w:lang w:bidi="en-US"/>
        </w:rPr>
        <w:t>截至</w:t>
      </w:r>
      <w:r>
        <w:rPr>
          <w:lang w:bidi="en-US"/>
        </w:rPr>
        <w:t>2020年</w:t>
      </w:r>
      <w:r>
        <w:rPr>
          <w:rFonts w:hint="eastAsia"/>
          <w:lang w:bidi="en-US"/>
        </w:rPr>
        <w:t>，元谋县全县核定后期扶持移民人数为</w:t>
      </w:r>
      <w:r>
        <w:rPr>
          <w:lang w:bidi="en-US"/>
        </w:rPr>
        <w:t>14014</w:t>
      </w:r>
      <w:r>
        <w:rPr>
          <w:rFonts w:hint="eastAsia"/>
          <w:lang w:bidi="en-US"/>
        </w:rPr>
        <w:t>人，其中直补人口</w:t>
      </w:r>
      <w:r>
        <w:rPr>
          <w:lang w:bidi="en-US"/>
        </w:rPr>
        <w:t>14014</w:t>
      </w:r>
      <w:r>
        <w:rPr>
          <w:rFonts w:hint="eastAsia"/>
          <w:lang w:bidi="en-US"/>
        </w:rPr>
        <w:t>人，</w:t>
      </w:r>
      <w:r>
        <w:rPr>
          <w:lang w:bidi="en-US"/>
        </w:rPr>
        <w:t>共涉及</w:t>
      </w:r>
      <w:r>
        <w:rPr>
          <w:rFonts w:hint="eastAsia"/>
          <w:lang w:bidi="en-US"/>
        </w:rPr>
        <w:t>8</w:t>
      </w:r>
      <w:r>
        <w:rPr>
          <w:lang w:bidi="en-US"/>
        </w:rPr>
        <w:t>个乡镇</w:t>
      </w:r>
      <w:r>
        <w:rPr>
          <w:rFonts w:hint="eastAsia"/>
          <w:lang w:bidi="en-US"/>
        </w:rPr>
        <w:t>50</w:t>
      </w:r>
      <w:r>
        <w:rPr>
          <w:lang w:bidi="en-US"/>
        </w:rPr>
        <w:t>个村（社区），主要为辖区内</w:t>
      </w:r>
      <w:r>
        <w:rPr>
          <w:rFonts w:hint="eastAsia"/>
          <w:lang w:bidi="en-US"/>
        </w:rPr>
        <w:t>乌东德</w:t>
      </w:r>
      <w:r>
        <w:rPr>
          <w:lang w:bidi="en-US"/>
        </w:rPr>
        <w:t>水库、</w:t>
      </w:r>
      <w:r>
        <w:rPr>
          <w:rFonts w:hint="eastAsia"/>
          <w:lang w:bidi="en-US"/>
        </w:rPr>
        <w:t>河尾</w:t>
      </w:r>
      <w:r>
        <w:rPr>
          <w:lang w:bidi="en-US"/>
        </w:rPr>
        <w:t>水库、</w:t>
      </w:r>
      <w:r>
        <w:rPr>
          <w:rFonts w:hint="eastAsia"/>
          <w:lang w:bidi="en-US"/>
        </w:rPr>
        <w:t>麻柳</w:t>
      </w:r>
      <w:r>
        <w:rPr>
          <w:lang w:bidi="en-US"/>
        </w:rPr>
        <w:t>水库</w:t>
      </w:r>
      <w:r>
        <w:rPr>
          <w:rFonts w:hint="eastAsia"/>
          <w:lang w:bidi="en-US"/>
        </w:rPr>
        <w:t>、</w:t>
      </w:r>
      <w:r>
        <w:rPr>
          <w:lang w:bidi="en-US"/>
        </w:rPr>
        <w:t>丙间水库</w:t>
      </w:r>
      <w:r>
        <w:rPr>
          <w:rFonts w:hint="eastAsia"/>
          <w:lang w:bidi="en-US"/>
        </w:rPr>
        <w:t>、</w:t>
      </w:r>
      <w:r>
        <w:rPr>
          <w:lang w:bidi="en-US"/>
        </w:rPr>
        <w:t>猛连水库</w:t>
      </w:r>
      <w:r>
        <w:rPr>
          <w:rFonts w:hint="eastAsia"/>
          <w:lang w:bidi="en-US"/>
        </w:rPr>
        <w:t>、</w:t>
      </w:r>
      <w:r>
        <w:rPr>
          <w:lang w:bidi="en-US"/>
        </w:rPr>
        <w:t>丙巷河水库</w:t>
      </w:r>
      <w:r>
        <w:rPr>
          <w:rFonts w:hint="eastAsia"/>
          <w:lang w:bidi="en-US"/>
        </w:rPr>
        <w:t>、</w:t>
      </w:r>
      <w:r>
        <w:rPr>
          <w:lang w:bidi="en-US"/>
        </w:rPr>
        <w:t>坛罐窑水库等涉及的后期扶持移民人口及辖区外其他水库建设迁入的后扶人口。其中：</w:t>
      </w:r>
      <w:r>
        <w:rPr>
          <w:rFonts w:hint="eastAsia"/>
          <w:lang w:bidi="en-US"/>
        </w:rPr>
        <w:t>乌东德</w:t>
      </w:r>
      <w:r>
        <w:rPr>
          <w:lang w:bidi="en-US"/>
        </w:rPr>
        <w:t>水库</w:t>
      </w:r>
      <w:r>
        <w:rPr>
          <w:rFonts w:hint="eastAsia"/>
          <w:lang w:bidi="en-US"/>
        </w:rPr>
        <w:t>10580</w:t>
      </w:r>
      <w:r>
        <w:rPr>
          <w:lang w:bidi="en-US"/>
        </w:rPr>
        <w:t>人，</w:t>
      </w:r>
      <w:r>
        <w:rPr>
          <w:rFonts w:hint="eastAsia"/>
          <w:lang w:bidi="en-US"/>
        </w:rPr>
        <w:t>河尾</w:t>
      </w:r>
      <w:r>
        <w:rPr>
          <w:lang w:bidi="en-US"/>
        </w:rPr>
        <w:t>水库</w:t>
      </w:r>
      <w:r>
        <w:rPr>
          <w:rFonts w:hint="eastAsia"/>
          <w:lang w:bidi="en-US"/>
        </w:rPr>
        <w:t>1100</w:t>
      </w:r>
      <w:r>
        <w:rPr>
          <w:lang w:bidi="en-US"/>
        </w:rPr>
        <w:t>人、</w:t>
      </w:r>
      <w:r>
        <w:rPr>
          <w:rFonts w:hint="eastAsia"/>
          <w:lang w:bidi="en-US"/>
        </w:rPr>
        <w:t>丙间</w:t>
      </w:r>
      <w:r>
        <w:rPr>
          <w:lang w:bidi="en-US"/>
        </w:rPr>
        <w:t>水库</w:t>
      </w:r>
      <w:r>
        <w:rPr>
          <w:rFonts w:hint="eastAsia"/>
          <w:lang w:bidi="en-US"/>
        </w:rPr>
        <w:t>566人、麻柳水库919人、猛连水库370人、丙巷河水库264人、坛罐窑水库159人</w:t>
      </w:r>
      <w:r>
        <w:rPr>
          <w:lang w:bidi="en-US"/>
        </w:rPr>
        <w:t>、其他水库</w:t>
      </w:r>
      <w:r>
        <w:rPr>
          <w:rFonts w:hint="eastAsia"/>
          <w:lang w:bidi="en-US"/>
        </w:rPr>
        <w:t>56</w:t>
      </w:r>
      <w:r>
        <w:rPr>
          <w:lang w:bidi="en-US"/>
        </w:rPr>
        <w:t>人。</w:t>
      </w:r>
    </w:p>
    <w:p>
      <w:pPr>
        <w:pStyle w:val="54"/>
        <w:ind w:firstLine="560"/>
      </w:pPr>
      <w:r>
        <w:rPr>
          <w:rFonts w:hint="eastAsia"/>
        </w:rPr>
        <w:t>（2</w:t>
      </w:r>
      <w:r>
        <w:t>）</w:t>
      </w:r>
      <w:r>
        <w:rPr>
          <w:rFonts w:hint="eastAsia"/>
        </w:rPr>
        <w:t>“十四五”</w:t>
      </w:r>
      <w:r>
        <w:t>后期扶持对象核定原则</w:t>
      </w:r>
    </w:p>
    <w:p>
      <w:pPr>
        <w:pStyle w:val="43"/>
        <w:ind w:firstLine="560"/>
        <w:rPr>
          <w:lang w:bidi="en-US"/>
        </w:rPr>
      </w:pPr>
      <w:r>
        <w:rPr>
          <w:rFonts w:hint="eastAsia"/>
          <w:lang w:bidi="en-US"/>
        </w:rPr>
        <w:t>移民后期扶持对象核定，以</w:t>
      </w:r>
      <w:r>
        <w:rPr>
          <w:lang w:bidi="en-US"/>
        </w:rPr>
        <w:t>2020为基准年，分年度计列扶持人数，同时需考虑“十四五”期间建成大中型水库下闸蓄水后申报的新增后扶人口，以及年度核定减少人口数。新增后期扶持人口，搬迁安置人口应在规划下闸蓄水年份申报核定增列为直补人口，不搬迁只进行生产安置的人口，应申报增列为项目扶持人口；年度核定减少人口，在规划期内每年按照上年度直补人数的7‰核减年度直补人数，所核减的直补人数增列为该年度项目扶持人数。</w:t>
      </w:r>
    </w:p>
    <w:p>
      <w:pPr>
        <w:pStyle w:val="54"/>
        <w:ind w:firstLine="560"/>
      </w:pPr>
      <w:r>
        <w:rPr>
          <w:rFonts w:hint="eastAsia"/>
        </w:rPr>
        <w:t>（3</w:t>
      </w:r>
      <w:r>
        <w:t>）年度规划增加数</w:t>
      </w:r>
    </w:p>
    <w:p>
      <w:pPr>
        <w:pStyle w:val="43"/>
        <w:ind w:firstLine="560"/>
        <w:rPr>
          <w:lang w:bidi="en-US"/>
        </w:rPr>
      </w:pPr>
      <w:r>
        <w:rPr>
          <w:rFonts w:hint="eastAsia"/>
          <w:lang w:bidi="en-US"/>
        </w:rPr>
        <w:t>根据云南省“十四五”期间大中型水库后扶规划，十四五期间不计新增后扶移民人口。</w:t>
      </w:r>
    </w:p>
    <w:p>
      <w:pPr>
        <w:pStyle w:val="54"/>
        <w:ind w:firstLine="560"/>
      </w:pPr>
      <w:r>
        <w:rPr>
          <w:rFonts w:hint="eastAsia"/>
        </w:rPr>
        <w:t>（4）年度</w:t>
      </w:r>
      <w:r>
        <w:t>核定扶持对象</w:t>
      </w:r>
    </w:p>
    <w:p>
      <w:pPr>
        <w:pStyle w:val="43"/>
        <w:ind w:firstLine="560"/>
        <w:rPr>
          <w:lang w:bidi="en-US"/>
        </w:rPr>
      </w:pPr>
      <w:r>
        <w:rPr>
          <w:rFonts w:hint="eastAsia"/>
          <w:lang w:bidi="en-US"/>
        </w:rPr>
        <w:t>经计算，元谋县预计</w:t>
      </w:r>
      <w:r>
        <w:rPr>
          <w:lang w:bidi="en-US"/>
        </w:rPr>
        <w:t>2021至</w:t>
      </w:r>
      <w:r>
        <w:rPr>
          <w:rFonts w:hint="eastAsia"/>
          <w:lang w:bidi="en-US"/>
        </w:rPr>
        <w:t>2025年核定后期扶持人口均为</w:t>
      </w:r>
      <w:r>
        <w:rPr>
          <w:lang w:bidi="en-US"/>
        </w:rPr>
        <w:t>14014</w:t>
      </w:r>
      <w:r>
        <w:rPr>
          <w:rFonts w:hint="eastAsia"/>
          <w:lang w:bidi="en-US"/>
        </w:rPr>
        <w:t>人，分年度直补人口和项目扶持人口，详见表</w:t>
      </w:r>
      <w:r>
        <w:rPr>
          <w:lang w:bidi="en-US"/>
        </w:rPr>
        <w:t>4.1-1</w:t>
      </w:r>
      <w:r>
        <w:rPr>
          <w:rFonts w:hint="eastAsia"/>
          <w:lang w:bidi="en-US"/>
        </w:rPr>
        <w:t>。</w:t>
      </w:r>
    </w:p>
    <w:p>
      <w:pPr>
        <w:pStyle w:val="53"/>
        <w:ind w:firstLine="240"/>
        <w:rPr>
          <w:color w:val="000000"/>
          <w:lang w:bidi="en-US"/>
        </w:rPr>
      </w:pPr>
      <w:r>
        <w:rPr>
          <w:rFonts w:hint="eastAsia"/>
        </w:rPr>
        <w:t>表</w:t>
      </w:r>
      <w:r>
        <w:t>4.1-1　　</w:t>
      </w:r>
      <w:r>
        <w:rPr>
          <w:rFonts w:hint="eastAsia"/>
        </w:rPr>
        <w:t>　　　　</w:t>
      </w:r>
      <w:r>
        <w:t>　</w:t>
      </w:r>
      <w:r>
        <w:rPr>
          <w:rFonts w:hint="eastAsia"/>
        </w:rPr>
        <w:t>　元谋县“十四五”期间分年度后扶人口计算表</w:t>
      </w:r>
    </w:p>
    <w:tbl>
      <w:tblPr>
        <w:tblStyle w:val="23"/>
        <w:tblW w:w="9072" w:type="dxa"/>
        <w:jc w:val="center"/>
        <w:tblInd w:w="0" w:type="dxa"/>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653"/>
        <w:gridCol w:w="971"/>
        <w:gridCol w:w="1112"/>
        <w:gridCol w:w="969"/>
        <w:gridCol w:w="1109"/>
        <w:gridCol w:w="1107"/>
        <w:gridCol w:w="831"/>
        <w:gridCol w:w="1107"/>
        <w:gridCol w:w="1213"/>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348" w:hRule="atLeast"/>
          <w:jc w:val="center"/>
        </w:trPr>
        <w:tc>
          <w:tcPr>
            <w:tcW w:w="653" w:type="dxa"/>
            <w:vMerge w:val="restart"/>
            <w:shd w:val="clear" w:color="auto" w:fill="auto"/>
            <w:vAlign w:val="center"/>
          </w:tcPr>
          <w:p>
            <w:pPr>
              <w:pStyle w:val="52"/>
            </w:pPr>
            <w:r>
              <w:rPr>
                <w:rFonts w:hint="eastAsia"/>
              </w:rPr>
              <w:t>序号</w:t>
            </w:r>
          </w:p>
        </w:tc>
        <w:tc>
          <w:tcPr>
            <w:tcW w:w="971" w:type="dxa"/>
            <w:vMerge w:val="restart"/>
            <w:shd w:val="clear" w:color="auto" w:fill="auto"/>
            <w:vAlign w:val="center"/>
          </w:tcPr>
          <w:p>
            <w:pPr>
              <w:pStyle w:val="52"/>
            </w:pPr>
            <w:r>
              <w:rPr>
                <w:rFonts w:hint="eastAsia"/>
              </w:rPr>
              <w:t>年度</w:t>
            </w:r>
          </w:p>
        </w:tc>
        <w:tc>
          <w:tcPr>
            <w:tcW w:w="1112" w:type="dxa"/>
            <w:vMerge w:val="restart"/>
            <w:shd w:val="clear" w:color="auto" w:fill="auto"/>
            <w:vAlign w:val="center"/>
          </w:tcPr>
          <w:p>
            <w:pPr>
              <w:pStyle w:val="52"/>
            </w:pPr>
            <w:r>
              <w:rPr>
                <w:rFonts w:hint="eastAsia"/>
              </w:rPr>
              <w:t>核定后扶人口</w:t>
            </w:r>
          </w:p>
        </w:tc>
        <w:tc>
          <w:tcPr>
            <w:tcW w:w="3185" w:type="dxa"/>
            <w:gridSpan w:val="3"/>
            <w:shd w:val="clear" w:color="auto" w:fill="auto"/>
            <w:vAlign w:val="center"/>
          </w:tcPr>
          <w:p>
            <w:pPr>
              <w:pStyle w:val="52"/>
            </w:pPr>
            <w:r>
              <w:rPr>
                <w:rFonts w:hint="eastAsia"/>
              </w:rPr>
              <w:t>资金直补到人</w:t>
            </w:r>
          </w:p>
        </w:tc>
        <w:tc>
          <w:tcPr>
            <w:tcW w:w="3151" w:type="dxa"/>
            <w:gridSpan w:val="3"/>
            <w:shd w:val="clear" w:color="auto" w:fill="auto"/>
            <w:vAlign w:val="center"/>
          </w:tcPr>
          <w:p>
            <w:pPr>
              <w:pStyle w:val="52"/>
            </w:pPr>
            <w:r>
              <w:rPr>
                <w:rFonts w:hint="eastAsia"/>
              </w:rPr>
              <w:t>项目扶持</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348" w:hRule="atLeast"/>
          <w:jc w:val="center"/>
        </w:trPr>
        <w:tc>
          <w:tcPr>
            <w:tcW w:w="653" w:type="dxa"/>
            <w:vMerge w:val="continue"/>
            <w:vAlign w:val="center"/>
          </w:tcPr>
          <w:p>
            <w:pPr>
              <w:pStyle w:val="52"/>
            </w:pPr>
          </w:p>
        </w:tc>
        <w:tc>
          <w:tcPr>
            <w:tcW w:w="971" w:type="dxa"/>
            <w:vMerge w:val="continue"/>
            <w:vAlign w:val="center"/>
          </w:tcPr>
          <w:p>
            <w:pPr>
              <w:pStyle w:val="52"/>
            </w:pPr>
          </w:p>
        </w:tc>
        <w:tc>
          <w:tcPr>
            <w:tcW w:w="1112" w:type="dxa"/>
            <w:vMerge w:val="continue"/>
            <w:vAlign w:val="center"/>
          </w:tcPr>
          <w:p>
            <w:pPr>
              <w:pStyle w:val="52"/>
            </w:pPr>
          </w:p>
        </w:tc>
        <w:tc>
          <w:tcPr>
            <w:tcW w:w="969" w:type="dxa"/>
            <w:shd w:val="clear" w:color="auto" w:fill="auto"/>
            <w:vAlign w:val="center"/>
          </w:tcPr>
          <w:p>
            <w:pPr>
              <w:pStyle w:val="52"/>
            </w:pPr>
            <w:r>
              <w:rPr>
                <w:rFonts w:hint="eastAsia"/>
              </w:rPr>
              <w:t>小计</w:t>
            </w:r>
          </w:p>
        </w:tc>
        <w:tc>
          <w:tcPr>
            <w:tcW w:w="1109" w:type="dxa"/>
            <w:shd w:val="clear" w:color="auto" w:fill="auto"/>
            <w:vAlign w:val="center"/>
          </w:tcPr>
          <w:p>
            <w:pPr>
              <w:pStyle w:val="52"/>
            </w:pPr>
            <w:r>
              <w:rPr>
                <w:rFonts w:hint="eastAsia"/>
              </w:rPr>
              <w:t>存量人口</w:t>
            </w:r>
          </w:p>
        </w:tc>
        <w:tc>
          <w:tcPr>
            <w:tcW w:w="1107" w:type="dxa"/>
            <w:shd w:val="clear" w:color="auto" w:fill="auto"/>
            <w:vAlign w:val="center"/>
          </w:tcPr>
          <w:p>
            <w:pPr>
              <w:pStyle w:val="52"/>
            </w:pPr>
            <w:r>
              <w:rPr>
                <w:rFonts w:hint="eastAsia"/>
              </w:rPr>
              <w:t>预计新增</w:t>
            </w:r>
          </w:p>
        </w:tc>
        <w:tc>
          <w:tcPr>
            <w:tcW w:w="831" w:type="dxa"/>
            <w:shd w:val="clear" w:color="auto" w:fill="auto"/>
            <w:vAlign w:val="center"/>
          </w:tcPr>
          <w:p>
            <w:pPr>
              <w:pStyle w:val="52"/>
            </w:pPr>
            <w:r>
              <w:rPr>
                <w:rFonts w:hint="eastAsia"/>
              </w:rPr>
              <w:t>小计</w:t>
            </w:r>
          </w:p>
        </w:tc>
        <w:tc>
          <w:tcPr>
            <w:tcW w:w="1107" w:type="dxa"/>
            <w:shd w:val="clear" w:color="auto" w:fill="auto"/>
            <w:vAlign w:val="center"/>
          </w:tcPr>
          <w:p>
            <w:pPr>
              <w:pStyle w:val="52"/>
            </w:pPr>
            <w:r>
              <w:rPr>
                <w:rFonts w:hint="eastAsia"/>
              </w:rPr>
              <w:t>存量人口</w:t>
            </w:r>
          </w:p>
        </w:tc>
        <w:tc>
          <w:tcPr>
            <w:tcW w:w="1213" w:type="dxa"/>
            <w:shd w:val="clear" w:color="auto" w:fill="auto"/>
            <w:vAlign w:val="center"/>
          </w:tcPr>
          <w:p>
            <w:pPr>
              <w:pStyle w:val="52"/>
            </w:pPr>
            <w:r>
              <w:rPr>
                <w:rFonts w:hint="eastAsia"/>
              </w:rPr>
              <w:t>预计新增</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348" w:hRule="atLeast"/>
          <w:jc w:val="center"/>
        </w:trPr>
        <w:tc>
          <w:tcPr>
            <w:tcW w:w="653" w:type="dxa"/>
            <w:shd w:val="clear" w:color="auto" w:fill="auto"/>
            <w:noWrap/>
            <w:vAlign w:val="center"/>
          </w:tcPr>
          <w:p>
            <w:pPr>
              <w:pStyle w:val="52"/>
            </w:pPr>
            <w:r>
              <w:rPr>
                <w:rFonts w:hint="eastAsia"/>
              </w:rPr>
              <w:t>1</w:t>
            </w:r>
          </w:p>
        </w:tc>
        <w:tc>
          <w:tcPr>
            <w:tcW w:w="971" w:type="dxa"/>
            <w:shd w:val="clear" w:color="auto" w:fill="auto"/>
            <w:noWrap/>
            <w:vAlign w:val="center"/>
          </w:tcPr>
          <w:p>
            <w:pPr>
              <w:pStyle w:val="52"/>
            </w:pPr>
            <w:r>
              <w:rPr>
                <w:rFonts w:hint="eastAsia"/>
              </w:rPr>
              <w:t>2021</w:t>
            </w:r>
          </w:p>
        </w:tc>
        <w:tc>
          <w:tcPr>
            <w:tcW w:w="1112" w:type="dxa"/>
            <w:shd w:val="clear" w:color="auto" w:fill="auto"/>
            <w:noWrap/>
            <w:vAlign w:val="center"/>
          </w:tcPr>
          <w:p>
            <w:pPr>
              <w:pStyle w:val="52"/>
            </w:pPr>
            <w:r>
              <w:rPr>
                <w:rFonts w:hint="eastAsia"/>
              </w:rPr>
              <w:t>14014</w:t>
            </w:r>
          </w:p>
        </w:tc>
        <w:tc>
          <w:tcPr>
            <w:tcW w:w="969" w:type="dxa"/>
            <w:shd w:val="clear" w:color="auto" w:fill="auto"/>
            <w:noWrap/>
            <w:vAlign w:val="center"/>
          </w:tcPr>
          <w:p>
            <w:pPr>
              <w:pStyle w:val="52"/>
            </w:pPr>
            <w:r>
              <w:rPr>
                <w:rFonts w:hint="eastAsia"/>
              </w:rPr>
              <w:t>13916</w:t>
            </w:r>
          </w:p>
        </w:tc>
        <w:tc>
          <w:tcPr>
            <w:tcW w:w="1109" w:type="dxa"/>
            <w:shd w:val="clear" w:color="auto" w:fill="auto"/>
            <w:noWrap/>
            <w:vAlign w:val="center"/>
          </w:tcPr>
          <w:p>
            <w:pPr>
              <w:pStyle w:val="52"/>
            </w:pPr>
            <w:r>
              <w:rPr>
                <w:rFonts w:hint="eastAsia"/>
              </w:rPr>
              <w:t>13916</w:t>
            </w:r>
          </w:p>
        </w:tc>
        <w:tc>
          <w:tcPr>
            <w:tcW w:w="1107" w:type="dxa"/>
            <w:shd w:val="clear" w:color="auto" w:fill="auto"/>
            <w:noWrap/>
            <w:vAlign w:val="center"/>
          </w:tcPr>
          <w:p>
            <w:pPr>
              <w:pStyle w:val="52"/>
            </w:pPr>
            <w:r>
              <w:rPr>
                <w:rFonts w:hint="eastAsia"/>
              </w:rPr>
              <w:t>　</w:t>
            </w:r>
          </w:p>
        </w:tc>
        <w:tc>
          <w:tcPr>
            <w:tcW w:w="831" w:type="dxa"/>
            <w:shd w:val="clear" w:color="auto" w:fill="auto"/>
            <w:noWrap/>
            <w:vAlign w:val="center"/>
          </w:tcPr>
          <w:p>
            <w:pPr>
              <w:pStyle w:val="52"/>
            </w:pPr>
            <w:r>
              <w:rPr>
                <w:rFonts w:hint="eastAsia"/>
              </w:rPr>
              <w:t>98</w:t>
            </w:r>
          </w:p>
        </w:tc>
        <w:tc>
          <w:tcPr>
            <w:tcW w:w="1107" w:type="dxa"/>
            <w:shd w:val="clear" w:color="auto" w:fill="auto"/>
            <w:noWrap/>
            <w:vAlign w:val="center"/>
          </w:tcPr>
          <w:p>
            <w:pPr>
              <w:pStyle w:val="52"/>
            </w:pPr>
            <w:r>
              <w:rPr>
                <w:rFonts w:hint="eastAsia"/>
              </w:rPr>
              <w:t>98</w:t>
            </w:r>
          </w:p>
        </w:tc>
        <w:tc>
          <w:tcPr>
            <w:tcW w:w="1213" w:type="dxa"/>
            <w:shd w:val="clear" w:color="auto" w:fill="auto"/>
            <w:noWrap/>
            <w:vAlign w:val="center"/>
          </w:tcPr>
          <w:p>
            <w:pPr>
              <w:pStyle w:val="52"/>
            </w:pPr>
            <w:r>
              <w:rPr>
                <w:rFonts w:hint="eastAsia"/>
              </w:rPr>
              <w:t>　</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348" w:hRule="atLeast"/>
          <w:jc w:val="center"/>
        </w:trPr>
        <w:tc>
          <w:tcPr>
            <w:tcW w:w="653" w:type="dxa"/>
            <w:shd w:val="clear" w:color="auto" w:fill="auto"/>
            <w:noWrap/>
            <w:vAlign w:val="center"/>
          </w:tcPr>
          <w:p>
            <w:pPr>
              <w:pStyle w:val="52"/>
            </w:pPr>
            <w:r>
              <w:rPr>
                <w:rFonts w:hint="eastAsia"/>
              </w:rPr>
              <w:t>2</w:t>
            </w:r>
          </w:p>
        </w:tc>
        <w:tc>
          <w:tcPr>
            <w:tcW w:w="971" w:type="dxa"/>
            <w:shd w:val="clear" w:color="auto" w:fill="auto"/>
            <w:noWrap/>
            <w:vAlign w:val="center"/>
          </w:tcPr>
          <w:p>
            <w:pPr>
              <w:pStyle w:val="52"/>
            </w:pPr>
            <w:r>
              <w:rPr>
                <w:rFonts w:hint="eastAsia"/>
              </w:rPr>
              <w:t>2022</w:t>
            </w:r>
          </w:p>
        </w:tc>
        <w:tc>
          <w:tcPr>
            <w:tcW w:w="1112" w:type="dxa"/>
            <w:shd w:val="clear" w:color="auto" w:fill="auto"/>
            <w:noWrap/>
            <w:vAlign w:val="center"/>
          </w:tcPr>
          <w:p>
            <w:pPr>
              <w:pStyle w:val="52"/>
            </w:pPr>
            <w:r>
              <w:rPr>
                <w:rFonts w:hint="eastAsia"/>
              </w:rPr>
              <w:t>14014</w:t>
            </w:r>
          </w:p>
        </w:tc>
        <w:tc>
          <w:tcPr>
            <w:tcW w:w="969" w:type="dxa"/>
            <w:shd w:val="clear" w:color="auto" w:fill="auto"/>
            <w:noWrap/>
            <w:vAlign w:val="center"/>
          </w:tcPr>
          <w:p>
            <w:pPr>
              <w:pStyle w:val="52"/>
            </w:pPr>
            <w:r>
              <w:rPr>
                <w:rFonts w:hint="eastAsia"/>
              </w:rPr>
              <w:t>13819</w:t>
            </w:r>
          </w:p>
        </w:tc>
        <w:tc>
          <w:tcPr>
            <w:tcW w:w="1109" w:type="dxa"/>
            <w:shd w:val="clear" w:color="auto" w:fill="auto"/>
            <w:noWrap/>
            <w:vAlign w:val="center"/>
          </w:tcPr>
          <w:p>
            <w:pPr>
              <w:pStyle w:val="52"/>
            </w:pPr>
            <w:r>
              <w:rPr>
                <w:rFonts w:hint="eastAsia"/>
              </w:rPr>
              <w:t>13819</w:t>
            </w:r>
          </w:p>
        </w:tc>
        <w:tc>
          <w:tcPr>
            <w:tcW w:w="1107" w:type="dxa"/>
            <w:shd w:val="clear" w:color="auto" w:fill="auto"/>
            <w:noWrap/>
            <w:vAlign w:val="center"/>
          </w:tcPr>
          <w:p>
            <w:pPr>
              <w:pStyle w:val="52"/>
            </w:pPr>
            <w:r>
              <w:rPr>
                <w:rFonts w:hint="eastAsia"/>
              </w:rPr>
              <w:t>　</w:t>
            </w:r>
          </w:p>
        </w:tc>
        <w:tc>
          <w:tcPr>
            <w:tcW w:w="831" w:type="dxa"/>
            <w:shd w:val="clear" w:color="auto" w:fill="auto"/>
            <w:noWrap/>
            <w:vAlign w:val="center"/>
          </w:tcPr>
          <w:p>
            <w:pPr>
              <w:pStyle w:val="52"/>
            </w:pPr>
            <w:r>
              <w:rPr>
                <w:rFonts w:hint="eastAsia"/>
              </w:rPr>
              <w:t>195</w:t>
            </w:r>
          </w:p>
        </w:tc>
        <w:tc>
          <w:tcPr>
            <w:tcW w:w="1107" w:type="dxa"/>
            <w:shd w:val="clear" w:color="auto" w:fill="auto"/>
            <w:noWrap/>
            <w:vAlign w:val="center"/>
          </w:tcPr>
          <w:p>
            <w:pPr>
              <w:pStyle w:val="52"/>
            </w:pPr>
            <w:r>
              <w:rPr>
                <w:rFonts w:hint="eastAsia"/>
              </w:rPr>
              <w:t>195</w:t>
            </w:r>
          </w:p>
        </w:tc>
        <w:tc>
          <w:tcPr>
            <w:tcW w:w="1213" w:type="dxa"/>
            <w:shd w:val="clear" w:color="auto" w:fill="auto"/>
            <w:noWrap/>
            <w:vAlign w:val="center"/>
          </w:tcPr>
          <w:p>
            <w:pPr>
              <w:pStyle w:val="52"/>
            </w:pPr>
            <w:r>
              <w:rPr>
                <w:rFonts w:hint="eastAsia"/>
              </w:rPr>
              <w:t>　</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348" w:hRule="atLeast"/>
          <w:jc w:val="center"/>
        </w:trPr>
        <w:tc>
          <w:tcPr>
            <w:tcW w:w="653" w:type="dxa"/>
            <w:shd w:val="clear" w:color="auto" w:fill="auto"/>
            <w:noWrap/>
            <w:vAlign w:val="center"/>
          </w:tcPr>
          <w:p>
            <w:pPr>
              <w:pStyle w:val="52"/>
            </w:pPr>
            <w:r>
              <w:rPr>
                <w:rFonts w:hint="eastAsia"/>
              </w:rPr>
              <w:t>3</w:t>
            </w:r>
          </w:p>
        </w:tc>
        <w:tc>
          <w:tcPr>
            <w:tcW w:w="971" w:type="dxa"/>
            <w:shd w:val="clear" w:color="auto" w:fill="auto"/>
            <w:noWrap/>
            <w:vAlign w:val="center"/>
          </w:tcPr>
          <w:p>
            <w:pPr>
              <w:pStyle w:val="52"/>
            </w:pPr>
            <w:r>
              <w:rPr>
                <w:rFonts w:hint="eastAsia"/>
              </w:rPr>
              <w:t>2023</w:t>
            </w:r>
          </w:p>
        </w:tc>
        <w:tc>
          <w:tcPr>
            <w:tcW w:w="1112" w:type="dxa"/>
            <w:shd w:val="clear" w:color="auto" w:fill="auto"/>
            <w:noWrap/>
            <w:vAlign w:val="center"/>
          </w:tcPr>
          <w:p>
            <w:pPr>
              <w:pStyle w:val="52"/>
            </w:pPr>
            <w:r>
              <w:rPr>
                <w:rFonts w:hint="eastAsia"/>
              </w:rPr>
              <w:t>14566</w:t>
            </w:r>
          </w:p>
        </w:tc>
        <w:tc>
          <w:tcPr>
            <w:tcW w:w="969" w:type="dxa"/>
            <w:shd w:val="clear" w:color="auto" w:fill="auto"/>
            <w:noWrap/>
            <w:vAlign w:val="center"/>
          </w:tcPr>
          <w:p>
            <w:pPr>
              <w:pStyle w:val="52"/>
            </w:pPr>
            <w:r>
              <w:rPr>
                <w:rFonts w:hint="eastAsia"/>
              </w:rPr>
              <w:t>13722</w:t>
            </w:r>
          </w:p>
        </w:tc>
        <w:tc>
          <w:tcPr>
            <w:tcW w:w="1109" w:type="dxa"/>
            <w:shd w:val="clear" w:color="auto" w:fill="auto"/>
            <w:noWrap/>
            <w:vAlign w:val="center"/>
          </w:tcPr>
          <w:p>
            <w:pPr>
              <w:pStyle w:val="52"/>
            </w:pPr>
            <w:r>
              <w:rPr>
                <w:rFonts w:hint="eastAsia"/>
              </w:rPr>
              <w:t>13722</w:t>
            </w:r>
          </w:p>
        </w:tc>
        <w:tc>
          <w:tcPr>
            <w:tcW w:w="1107" w:type="dxa"/>
            <w:shd w:val="clear" w:color="auto" w:fill="auto"/>
            <w:noWrap/>
            <w:vAlign w:val="center"/>
          </w:tcPr>
          <w:p>
            <w:pPr>
              <w:pStyle w:val="52"/>
            </w:pPr>
            <w:r>
              <w:rPr>
                <w:rFonts w:hint="eastAsia"/>
              </w:rPr>
              <w:t>　</w:t>
            </w:r>
          </w:p>
        </w:tc>
        <w:tc>
          <w:tcPr>
            <w:tcW w:w="831" w:type="dxa"/>
            <w:shd w:val="clear" w:color="auto" w:fill="auto"/>
            <w:noWrap/>
            <w:vAlign w:val="center"/>
          </w:tcPr>
          <w:p>
            <w:pPr>
              <w:pStyle w:val="52"/>
            </w:pPr>
            <w:r>
              <w:rPr>
                <w:rFonts w:hint="eastAsia"/>
              </w:rPr>
              <w:t>292</w:t>
            </w:r>
          </w:p>
        </w:tc>
        <w:tc>
          <w:tcPr>
            <w:tcW w:w="1107" w:type="dxa"/>
            <w:shd w:val="clear" w:color="auto" w:fill="auto"/>
            <w:noWrap/>
            <w:vAlign w:val="center"/>
          </w:tcPr>
          <w:p>
            <w:pPr>
              <w:pStyle w:val="52"/>
            </w:pPr>
            <w:r>
              <w:rPr>
                <w:rFonts w:hint="eastAsia"/>
              </w:rPr>
              <w:t>292</w:t>
            </w:r>
          </w:p>
        </w:tc>
        <w:tc>
          <w:tcPr>
            <w:tcW w:w="1213" w:type="dxa"/>
            <w:shd w:val="clear" w:color="auto" w:fill="auto"/>
            <w:noWrap/>
            <w:vAlign w:val="center"/>
          </w:tcPr>
          <w:p>
            <w:pPr>
              <w:pStyle w:val="52"/>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348" w:hRule="atLeast"/>
          <w:jc w:val="center"/>
        </w:trPr>
        <w:tc>
          <w:tcPr>
            <w:tcW w:w="653" w:type="dxa"/>
            <w:shd w:val="clear" w:color="auto" w:fill="auto"/>
            <w:noWrap/>
            <w:vAlign w:val="center"/>
          </w:tcPr>
          <w:p>
            <w:pPr>
              <w:pStyle w:val="52"/>
            </w:pPr>
            <w:r>
              <w:rPr>
                <w:rFonts w:hint="eastAsia"/>
              </w:rPr>
              <w:t>4</w:t>
            </w:r>
          </w:p>
        </w:tc>
        <w:tc>
          <w:tcPr>
            <w:tcW w:w="971" w:type="dxa"/>
            <w:shd w:val="clear" w:color="auto" w:fill="auto"/>
            <w:noWrap/>
            <w:vAlign w:val="center"/>
          </w:tcPr>
          <w:p>
            <w:pPr>
              <w:pStyle w:val="52"/>
            </w:pPr>
            <w:r>
              <w:rPr>
                <w:rFonts w:hint="eastAsia"/>
              </w:rPr>
              <w:t>2024</w:t>
            </w:r>
          </w:p>
        </w:tc>
        <w:tc>
          <w:tcPr>
            <w:tcW w:w="1112" w:type="dxa"/>
            <w:shd w:val="clear" w:color="auto" w:fill="auto"/>
            <w:noWrap/>
            <w:vAlign w:val="center"/>
          </w:tcPr>
          <w:p>
            <w:pPr>
              <w:pStyle w:val="52"/>
            </w:pPr>
            <w:r>
              <w:rPr>
                <w:rFonts w:hint="eastAsia"/>
              </w:rPr>
              <w:t>14566</w:t>
            </w:r>
          </w:p>
        </w:tc>
        <w:tc>
          <w:tcPr>
            <w:tcW w:w="969" w:type="dxa"/>
            <w:shd w:val="clear" w:color="auto" w:fill="auto"/>
            <w:noWrap/>
            <w:vAlign w:val="center"/>
          </w:tcPr>
          <w:p>
            <w:pPr>
              <w:pStyle w:val="52"/>
            </w:pPr>
            <w:r>
              <w:rPr>
                <w:rFonts w:hint="eastAsia"/>
              </w:rPr>
              <w:t>13627</w:t>
            </w:r>
          </w:p>
        </w:tc>
        <w:tc>
          <w:tcPr>
            <w:tcW w:w="1109" w:type="dxa"/>
            <w:shd w:val="clear" w:color="auto" w:fill="auto"/>
            <w:noWrap/>
            <w:vAlign w:val="center"/>
          </w:tcPr>
          <w:p>
            <w:pPr>
              <w:pStyle w:val="52"/>
            </w:pPr>
            <w:r>
              <w:rPr>
                <w:rFonts w:hint="eastAsia"/>
              </w:rPr>
              <w:t>13627</w:t>
            </w:r>
          </w:p>
        </w:tc>
        <w:tc>
          <w:tcPr>
            <w:tcW w:w="1107" w:type="dxa"/>
            <w:shd w:val="clear" w:color="auto" w:fill="auto"/>
            <w:noWrap/>
            <w:vAlign w:val="center"/>
          </w:tcPr>
          <w:p>
            <w:pPr>
              <w:pStyle w:val="52"/>
            </w:pPr>
            <w:r>
              <w:rPr>
                <w:rFonts w:hint="eastAsia"/>
              </w:rPr>
              <w:t>　</w:t>
            </w:r>
          </w:p>
        </w:tc>
        <w:tc>
          <w:tcPr>
            <w:tcW w:w="831" w:type="dxa"/>
            <w:shd w:val="clear" w:color="auto" w:fill="auto"/>
            <w:noWrap/>
            <w:vAlign w:val="center"/>
          </w:tcPr>
          <w:p>
            <w:pPr>
              <w:pStyle w:val="52"/>
            </w:pPr>
            <w:r>
              <w:rPr>
                <w:rFonts w:hint="eastAsia"/>
              </w:rPr>
              <w:t>387</w:t>
            </w:r>
          </w:p>
        </w:tc>
        <w:tc>
          <w:tcPr>
            <w:tcW w:w="1107" w:type="dxa"/>
            <w:shd w:val="clear" w:color="auto" w:fill="auto"/>
            <w:noWrap/>
            <w:vAlign w:val="center"/>
          </w:tcPr>
          <w:p>
            <w:pPr>
              <w:pStyle w:val="52"/>
            </w:pPr>
            <w:r>
              <w:rPr>
                <w:rFonts w:hint="eastAsia"/>
              </w:rPr>
              <w:t>387</w:t>
            </w:r>
          </w:p>
        </w:tc>
        <w:tc>
          <w:tcPr>
            <w:tcW w:w="1213" w:type="dxa"/>
            <w:shd w:val="clear" w:color="auto" w:fill="auto"/>
            <w:noWrap/>
            <w:vAlign w:val="center"/>
          </w:tcPr>
          <w:p>
            <w:pPr>
              <w:pStyle w:val="52"/>
            </w:pPr>
            <w:r>
              <w:rPr>
                <w:rFonts w:hint="eastAsia"/>
              </w:rPr>
              <w:t>　</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348" w:hRule="atLeast"/>
          <w:jc w:val="center"/>
        </w:trPr>
        <w:tc>
          <w:tcPr>
            <w:tcW w:w="653" w:type="dxa"/>
            <w:shd w:val="clear" w:color="auto" w:fill="auto"/>
            <w:noWrap/>
            <w:vAlign w:val="center"/>
          </w:tcPr>
          <w:p>
            <w:pPr>
              <w:pStyle w:val="52"/>
            </w:pPr>
            <w:r>
              <w:rPr>
                <w:rFonts w:hint="eastAsia"/>
              </w:rPr>
              <w:t>5</w:t>
            </w:r>
          </w:p>
        </w:tc>
        <w:tc>
          <w:tcPr>
            <w:tcW w:w="971" w:type="dxa"/>
            <w:shd w:val="clear" w:color="auto" w:fill="auto"/>
            <w:noWrap/>
            <w:vAlign w:val="center"/>
          </w:tcPr>
          <w:p>
            <w:pPr>
              <w:pStyle w:val="52"/>
            </w:pPr>
            <w:r>
              <w:rPr>
                <w:rFonts w:hint="eastAsia"/>
              </w:rPr>
              <w:t>2025</w:t>
            </w:r>
          </w:p>
        </w:tc>
        <w:tc>
          <w:tcPr>
            <w:tcW w:w="1112" w:type="dxa"/>
            <w:shd w:val="clear" w:color="auto" w:fill="auto"/>
            <w:noWrap/>
            <w:vAlign w:val="center"/>
          </w:tcPr>
          <w:p>
            <w:pPr>
              <w:pStyle w:val="52"/>
            </w:pPr>
            <w:r>
              <w:rPr>
                <w:rFonts w:hint="eastAsia"/>
              </w:rPr>
              <w:t>14566</w:t>
            </w:r>
          </w:p>
        </w:tc>
        <w:tc>
          <w:tcPr>
            <w:tcW w:w="969" w:type="dxa"/>
            <w:shd w:val="clear" w:color="auto" w:fill="auto"/>
            <w:noWrap/>
            <w:vAlign w:val="center"/>
          </w:tcPr>
          <w:p>
            <w:pPr>
              <w:pStyle w:val="52"/>
            </w:pPr>
            <w:r>
              <w:rPr>
                <w:rFonts w:hint="eastAsia"/>
              </w:rPr>
              <w:t>13533</w:t>
            </w:r>
          </w:p>
        </w:tc>
        <w:tc>
          <w:tcPr>
            <w:tcW w:w="1109" w:type="dxa"/>
            <w:shd w:val="clear" w:color="auto" w:fill="auto"/>
            <w:noWrap/>
            <w:vAlign w:val="center"/>
          </w:tcPr>
          <w:p>
            <w:pPr>
              <w:pStyle w:val="52"/>
            </w:pPr>
            <w:r>
              <w:rPr>
                <w:rFonts w:hint="eastAsia"/>
              </w:rPr>
              <w:t>13533</w:t>
            </w:r>
          </w:p>
        </w:tc>
        <w:tc>
          <w:tcPr>
            <w:tcW w:w="1107" w:type="dxa"/>
            <w:shd w:val="clear" w:color="auto" w:fill="auto"/>
            <w:noWrap/>
            <w:vAlign w:val="center"/>
          </w:tcPr>
          <w:p>
            <w:pPr>
              <w:pStyle w:val="52"/>
            </w:pPr>
            <w:r>
              <w:rPr>
                <w:rFonts w:hint="eastAsia"/>
              </w:rPr>
              <w:t>　</w:t>
            </w:r>
          </w:p>
        </w:tc>
        <w:tc>
          <w:tcPr>
            <w:tcW w:w="831" w:type="dxa"/>
            <w:shd w:val="clear" w:color="auto" w:fill="auto"/>
            <w:noWrap/>
            <w:vAlign w:val="center"/>
          </w:tcPr>
          <w:p>
            <w:pPr>
              <w:pStyle w:val="52"/>
            </w:pPr>
            <w:r>
              <w:rPr>
                <w:rFonts w:hint="eastAsia"/>
              </w:rPr>
              <w:t>481</w:t>
            </w:r>
          </w:p>
        </w:tc>
        <w:tc>
          <w:tcPr>
            <w:tcW w:w="1107" w:type="dxa"/>
            <w:shd w:val="clear" w:color="auto" w:fill="auto"/>
            <w:noWrap/>
            <w:vAlign w:val="center"/>
          </w:tcPr>
          <w:p>
            <w:pPr>
              <w:pStyle w:val="52"/>
            </w:pPr>
            <w:r>
              <w:rPr>
                <w:rFonts w:hint="eastAsia"/>
              </w:rPr>
              <w:t>481</w:t>
            </w:r>
          </w:p>
        </w:tc>
        <w:tc>
          <w:tcPr>
            <w:tcW w:w="1213" w:type="dxa"/>
            <w:shd w:val="clear" w:color="auto" w:fill="auto"/>
            <w:noWrap/>
            <w:vAlign w:val="center"/>
          </w:tcPr>
          <w:p>
            <w:pPr>
              <w:pStyle w:val="52"/>
            </w:pPr>
            <w:r>
              <w:rPr>
                <w:rFonts w:hint="eastAsia"/>
              </w:rPr>
              <w:t>　</w:t>
            </w:r>
          </w:p>
        </w:tc>
      </w:tr>
    </w:tbl>
    <w:p>
      <w:pPr>
        <w:pStyle w:val="3"/>
        <w:rPr>
          <w:rFonts w:hAnsi="Times New Roman" w:cs="Times New Roman"/>
          <w:szCs w:val="36"/>
        </w:rPr>
      </w:pPr>
      <w:bookmarkStart w:id="39" w:name="_Toc86914823"/>
      <w:r>
        <w:rPr>
          <w:rFonts w:hAnsi="Times New Roman" w:cs="Times New Roman"/>
          <w:szCs w:val="36"/>
        </w:rPr>
        <w:t>4.2</w:t>
      </w:r>
      <w:r>
        <w:rPr>
          <w:rFonts w:hint="eastAsia" w:hAnsi="Times New Roman" w:cs="Times New Roman"/>
          <w:szCs w:val="36"/>
        </w:rPr>
        <w:t>　大中型水库移民后期扶持方式</w:t>
      </w:r>
      <w:bookmarkEnd w:id="39"/>
    </w:p>
    <w:p>
      <w:pPr>
        <w:pStyle w:val="43"/>
        <w:ind w:firstLine="560"/>
        <w:rPr>
          <w:lang w:bidi="en-US"/>
        </w:rPr>
      </w:pPr>
      <w:bookmarkStart w:id="40" w:name="_Toc436598583"/>
      <w:r>
        <w:rPr>
          <w:rFonts w:hint="eastAsia"/>
          <w:lang w:bidi="en-US"/>
        </w:rPr>
        <w:t>按照《国务院关于完善大中型水库移民后期扶持政策的意见》（国发</w:t>
      </w:r>
      <w:r>
        <w:rPr>
          <w:rFonts w:hint="eastAsia" w:ascii="宋体" w:hAnsi="宋体" w:eastAsia="宋体" w:cs="宋体"/>
          <w:lang w:bidi="en-US"/>
        </w:rPr>
        <w:t>﹝</w:t>
      </w:r>
      <w:r>
        <w:rPr>
          <w:lang w:bidi="en-US"/>
        </w:rPr>
        <w:t>2006</w:t>
      </w:r>
      <w:r>
        <w:rPr>
          <w:rFonts w:hint="eastAsia" w:ascii="宋体" w:hAnsi="宋体" w:eastAsia="宋体" w:cs="宋体"/>
          <w:lang w:bidi="en-US"/>
        </w:rPr>
        <w:t>﹞</w:t>
      </w:r>
      <w:r>
        <w:rPr>
          <w:lang w:bidi="en-US"/>
        </w:rPr>
        <w:t>17</w:t>
      </w:r>
      <w:r>
        <w:rPr>
          <w:rFonts w:hint="eastAsia"/>
          <w:lang w:bidi="en-US"/>
        </w:rPr>
        <w:t>号）的有关规定执行。扶持方式确定总的原则是“一个尽量、两个可以”，即后期扶持资金能够直接发放给移民个人的尽量发放到移民个人，用于移民生产生活补助；后期扶持资金难以发放到移民个人，则实行项目扶持，用于解决移民村群众生产生活中存在的突出问题；对于具体问题还可以采取两者结合的扶持方式。具体方式由地方各级人民政府在充分尊重移民意愿并听取移民村群众意见的基础上确定。</w:t>
      </w:r>
    </w:p>
    <w:p>
      <w:pPr>
        <w:pStyle w:val="43"/>
        <w:ind w:firstLine="560"/>
        <w:rPr>
          <w:lang w:bidi="en-US"/>
        </w:rPr>
      </w:pPr>
      <w:r>
        <w:rPr>
          <w:rFonts w:hint="eastAsia"/>
          <w:lang w:bidi="en-US"/>
        </w:rPr>
        <w:t>经征求12412人移民意愿及移民村组意见，</w:t>
      </w:r>
      <w:r>
        <w:rPr>
          <w:lang w:bidi="en-US"/>
        </w:rPr>
        <w:t>100%</w:t>
      </w:r>
      <w:r>
        <w:rPr>
          <w:rFonts w:hint="eastAsia"/>
          <w:lang w:bidi="en-US"/>
        </w:rPr>
        <w:t>的移民及村组均选择直补资金方式。征求意愿调查汇总表详见附表</w:t>
      </w:r>
      <w:r>
        <w:rPr>
          <w:lang w:bidi="en-US"/>
        </w:rPr>
        <w:t xml:space="preserve"> 4-1</w:t>
      </w:r>
      <w:r>
        <w:rPr>
          <w:rFonts w:hint="eastAsia"/>
          <w:lang w:bidi="en-US"/>
        </w:rPr>
        <w:t>。</w:t>
      </w:r>
    </w:p>
    <w:p>
      <w:pPr>
        <w:pStyle w:val="43"/>
        <w:ind w:firstLine="560"/>
        <w:rPr>
          <w:lang w:bidi="en-US"/>
        </w:rPr>
      </w:pPr>
      <w:r>
        <w:rPr>
          <w:rFonts w:hint="eastAsia"/>
          <w:lang w:bidi="en-US"/>
        </w:rPr>
        <w:t>结合移民意愿及村组意见（详见附表</w:t>
      </w:r>
      <w:r>
        <w:rPr>
          <w:lang w:bidi="en-US"/>
        </w:rPr>
        <w:t>4-2</w:t>
      </w:r>
      <w:r>
        <w:rPr>
          <w:rFonts w:hint="eastAsia"/>
          <w:lang w:bidi="en-US"/>
        </w:rPr>
        <w:t>），</w:t>
      </w:r>
      <w:bookmarkEnd w:id="40"/>
      <w:bookmarkStart w:id="41" w:name="_Toc436598584"/>
      <w:r>
        <w:rPr>
          <w:lang w:bidi="en-US"/>
        </w:rPr>
        <w:t>“</w:t>
      </w:r>
      <w:r>
        <w:rPr>
          <w:rFonts w:hint="eastAsia"/>
          <w:lang w:bidi="en-US"/>
        </w:rPr>
        <w:t>十四五</w:t>
      </w:r>
      <w:r>
        <w:rPr>
          <w:lang w:bidi="en-US"/>
        </w:rPr>
        <w:t>”</w:t>
      </w:r>
      <w:r>
        <w:rPr>
          <w:rFonts w:hint="eastAsia"/>
          <w:lang w:bidi="en-US"/>
        </w:rPr>
        <w:t>期间，元谋县大中型水库移民后期扶持资金仍采用直接兑现给移民个人的方式进行扶持，用于解决移民的基本生活问题。</w:t>
      </w:r>
      <w:bookmarkEnd w:id="41"/>
    </w:p>
    <w:p>
      <w:pPr>
        <w:pStyle w:val="3"/>
        <w:rPr>
          <w:rFonts w:hAnsi="Times New Roman" w:cs="Times New Roman"/>
          <w:szCs w:val="36"/>
        </w:rPr>
      </w:pPr>
      <w:bookmarkStart w:id="42" w:name="_Toc86914824"/>
      <w:r>
        <w:rPr>
          <w:rFonts w:hAnsi="Times New Roman" w:cs="Times New Roman"/>
          <w:szCs w:val="36"/>
        </w:rPr>
        <w:t>4.3</w:t>
      </w:r>
      <w:r>
        <w:rPr>
          <w:rFonts w:hint="eastAsia" w:hAnsi="Times New Roman" w:cs="Times New Roman"/>
          <w:szCs w:val="36"/>
        </w:rPr>
        <w:t>　大中型水库移民后期扶持基金发放</w:t>
      </w:r>
      <w:bookmarkEnd w:id="42"/>
    </w:p>
    <w:p>
      <w:pPr>
        <w:pStyle w:val="41"/>
      </w:pPr>
      <w:r>
        <w:t>4.3.1</w:t>
      </w:r>
      <w:r>
        <w:rPr>
          <w:rFonts w:hint="eastAsia"/>
        </w:rPr>
        <w:t>　发放依据</w:t>
      </w:r>
    </w:p>
    <w:p>
      <w:pPr>
        <w:pStyle w:val="43"/>
        <w:ind w:firstLine="560"/>
        <w:rPr>
          <w:lang w:bidi="en-US"/>
        </w:rPr>
      </w:pPr>
      <w:r>
        <w:rPr>
          <w:rFonts w:hint="eastAsia"/>
          <w:lang w:bidi="en-US"/>
        </w:rPr>
        <w:t>（</w:t>
      </w:r>
      <w:r>
        <w:rPr>
          <w:lang w:bidi="en-US"/>
        </w:rPr>
        <w:t>1）国务院关于修改《大中型水利水电工程建设征地补偿和移民安置条例》的决定（国务院令679号）；</w:t>
      </w:r>
    </w:p>
    <w:p>
      <w:pPr>
        <w:pStyle w:val="43"/>
        <w:ind w:firstLine="560"/>
        <w:rPr>
          <w:lang w:bidi="en-US"/>
        </w:rPr>
      </w:pPr>
      <w:r>
        <w:rPr>
          <w:rFonts w:hint="eastAsia"/>
          <w:lang w:bidi="en-US"/>
        </w:rPr>
        <w:t>（</w:t>
      </w:r>
      <w:r>
        <w:rPr>
          <w:lang w:bidi="en-US"/>
        </w:rPr>
        <w:t>2）《国务院关于完善大中型水库移民后期扶持政策的意见》（国发〔2006〕17号）；</w:t>
      </w:r>
    </w:p>
    <w:p>
      <w:pPr>
        <w:pStyle w:val="43"/>
        <w:ind w:firstLine="560"/>
        <w:rPr>
          <w:lang w:bidi="en-US"/>
        </w:rPr>
      </w:pPr>
      <w:r>
        <w:rPr>
          <w:rFonts w:hint="eastAsia"/>
          <w:lang w:bidi="en-US"/>
        </w:rPr>
        <w:t>（</w:t>
      </w:r>
      <w:r>
        <w:rPr>
          <w:lang w:bidi="en-US"/>
        </w:rPr>
        <w:t>3）《关于进一步加强大中型水库移民后期扶持工作的通知》（发改农经〔2015〕426 号）；</w:t>
      </w:r>
    </w:p>
    <w:p>
      <w:pPr>
        <w:pStyle w:val="43"/>
        <w:ind w:firstLine="560"/>
        <w:rPr>
          <w:lang w:bidi="en-US"/>
        </w:rPr>
      </w:pPr>
      <w:r>
        <w:rPr>
          <w:rFonts w:hint="eastAsia"/>
          <w:lang w:bidi="en-US"/>
        </w:rPr>
        <w:t>（</w:t>
      </w:r>
      <w:r>
        <w:rPr>
          <w:lang w:bidi="en-US"/>
        </w:rPr>
        <w:t>4）《云南省新建大中型水库移民后期扶持人口核定登记实施细则》（云政办发〔2008〕106 号）；</w:t>
      </w:r>
    </w:p>
    <w:p>
      <w:pPr>
        <w:pStyle w:val="43"/>
        <w:ind w:firstLine="560"/>
        <w:rPr>
          <w:lang w:bidi="en-US"/>
        </w:rPr>
      </w:pPr>
      <w:r>
        <w:rPr>
          <w:rFonts w:hint="eastAsia"/>
          <w:lang w:bidi="en-US"/>
        </w:rPr>
        <w:t>（</w:t>
      </w:r>
      <w:r>
        <w:rPr>
          <w:lang w:bidi="en-US"/>
        </w:rPr>
        <w:t>5）《云南省人民政府关于进一步做好大中型水电工程移民工作的意见》（云政发〔2015〕12号）；</w:t>
      </w:r>
    </w:p>
    <w:p>
      <w:pPr>
        <w:pStyle w:val="43"/>
        <w:ind w:firstLine="560"/>
        <w:rPr>
          <w:lang w:bidi="en-US"/>
        </w:rPr>
      </w:pPr>
      <w:r>
        <w:rPr>
          <w:rFonts w:hint="eastAsia"/>
          <w:lang w:bidi="en-US"/>
        </w:rPr>
        <w:t>（</w:t>
      </w:r>
      <w:r>
        <w:rPr>
          <w:lang w:bidi="en-US"/>
        </w:rPr>
        <w:t>7）《云南省大中型水库移民后期扶持资金管理暂行办法》。</w:t>
      </w:r>
    </w:p>
    <w:p>
      <w:pPr>
        <w:pStyle w:val="43"/>
        <w:ind w:firstLine="560"/>
        <w:rPr>
          <w:lang w:bidi="en-US"/>
        </w:rPr>
      </w:pPr>
      <w:r>
        <w:rPr>
          <w:rFonts w:hint="eastAsia"/>
          <w:lang w:bidi="en-US"/>
        </w:rPr>
        <w:t>（</w:t>
      </w:r>
      <w:r>
        <w:rPr>
          <w:lang w:bidi="en-US"/>
        </w:rPr>
        <w:t>8）《云南省人民政府办公厅关于印发云南省完善大中型水库移民后</w:t>
      </w:r>
      <w:r>
        <w:rPr>
          <w:rFonts w:hint="eastAsia"/>
          <w:lang w:bidi="en-US"/>
        </w:rPr>
        <w:t>期扶持政策实施方案及相关暂行办法的通知》（云政办发〔</w:t>
      </w:r>
      <w:r>
        <w:rPr>
          <w:lang w:bidi="en-US"/>
        </w:rPr>
        <w:t>2007〕8 号）。</w:t>
      </w:r>
    </w:p>
    <w:p>
      <w:pPr>
        <w:pStyle w:val="43"/>
        <w:ind w:firstLine="560"/>
        <w:rPr>
          <w:lang w:bidi="en-US"/>
        </w:rPr>
      </w:pPr>
      <w:r>
        <w:rPr>
          <w:rFonts w:hint="eastAsia"/>
          <w:lang w:bidi="en-US"/>
        </w:rPr>
        <w:t>（</w:t>
      </w:r>
      <w:r>
        <w:rPr>
          <w:lang w:bidi="en-US"/>
        </w:rPr>
        <w:t>9）《楚雄州完善大中型水库移民后期扶持政策实施方案及相关暂行</w:t>
      </w:r>
      <w:r>
        <w:rPr>
          <w:rFonts w:hint="eastAsia"/>
          <w:lang w:bidi="en-US"/>
        </w:rPr>
        <w:t>办法》（楚政办通〔</w:t>
      </w:r>
      <w:r>
        <w:rPr>
          <w:lang w:bidi="en-US"/>
        </w:rPr>
        <w:t>2007〕22号）。</w:t>
      </w:r>
    </w:p>
    <w:p>
      <w:pPr>
        <w:pStyle w:val="41"/>
      </w:pPr>
      <w:r>
        <w:t>4.3.2</w:t>
      </w:r>
      <w:r>
        <w:rPr>
          <w:rFonts w:hint="eastAsia"/>
        </w:rPr>
        <w:t>　发放标准、年限和频次</w:t>
      </w:r>
    </w:p>
    <w:p>
      <w:pPr>
        <w:pStyle w:val="54"/>
        <w:ind w:firstLine="560"/>
      </w:pPr>
      <w:r>
        <w:rPr>
          <w:rFonts w:hint="eastAsia"/>
        </w:rPr>
        <w:t>（</w:t>
      </w:r>
      <w:r>
        <w:t>1）发放标准</w:t>
      </w:r>
    </w:p>
    <w:p>
      <w:pPr>
        <w:pStyle w:val="43"/>
        <w:ind w:firstLine="560"/>
        <w:rPr>
          <w:lang w:bidi="en-US"/>
        </w:rPr>
      </w:pPr>
      <w:r>
        <w:rPr>
          <w:rFonts w:hint="eastAsia"/>
          <w:lang w:bidi="en-US"/>
        </w:rPr>
        <w:t>按照国家和省级有关文件规定，元谋县纳入后期扶持范围的移民人口每人每年补助</w:t>
      </w:r>
      <w:r>
        <w:rPr>
          <w:lang w:bidi="en-US"/>
        </w:rPr>
        <w:t xml:space="preserve"> 600元。</w:t>
      </w:r>
    </w:p>
    <w:p>
      <w:pPr>
        <w:pStyle w:val="54"/>
        <w:ind w:firstLine="560"/>
      </w:pPr>
      <w:r>
        <w:rPr>
          <w:rFonts w:hint="eastAsia"/>
        </w:rPr>
        <w:t>（</w:t>
      </w:r>
      <w:r>
        <w:t>2）发放年限</w:t>
      </w:r>
    </w:p>
    <w:p>
      <w:pPr>
        <w:pStyle w:val="43"/>
        <w:ind w:firstLine="560"/>
        <w:rPr>
          <w:lang w:bidi="en-US"/>
        </w:rPr>
      </w:pPr>
      <w:r>
        <w:rPr>
          <w:rFonts w:hint="eastAsia"/>
          <w:lang w:bidi="en-US"/>
        </w:rPr>
        <w:t>发放年限从</w:t>
      </w:r>
      <w:r>
        <w:rPr>
          <w:lang w:bidi="en-US"/>
        </w:rPr>
        <w:t>2021年1月1日至2025年12月31日，共</w:t>
      </w:r>
      <w:r>
        <w:rPr>
          <w:rFonts w:hint="eastAsia"/>
          <w:lang w:bidi="en-US"/>
        </w:rPr>
        <w:t>5</w:t>
      </w:r>
      <w:r>
        <w:rPr>
          <w:lang w:bidi="en-US"/>
        </w:rPr>
        <w:t>年，2020年为基准年，2025年为水平年。</w:t>
      </w:r>
    </w:p>
    <w:p>
      <w:pPr>
        <w:pStyle w:val="54"/>
        <w:ind w:firstLine="560"/>
      </w:pPr>
      <w:r>
        <w:rPr>
          <w:rFonts w:hint="eastAsia"/>
        </w:rPr>
        <w:t>（3</w:t>
      </w:r>
      <w:r>
        <w:t>）发放</w:t>
      </w:r>
      <w:r>
        <w:rPr>
          <w:rFonts w:hint="eastAsia"/>
        </w:rPr>
        <w:t>频次</w:t>
      </w:r>
    </w:p>
    <w:p>
      <w:pPr>
        <w:pStyle w:val="43"/>
        <w:ind w:firstLine="560"/>
        <w:rPr>
          <w:lang w:bidi="en-US"/>
        </w:rPr>
      </w:pPr>
      <w:r>
        <w:rPr>
          <w:rFonts w:hint="eastAsia"/>
          <w:lang w:bidi="en-US"/>
        </w:rPr>
        <w:t>元谋县后期扶持直补资金发放频次为每年按季度发放移民后期扶持直补资金，每次每人发放150元。</w:t>
      </w:r>
    </w:p>
    <w:p>
      <w:pPr>
        <w:pStyle w:val="41"/>
      </w:pPr>
      <w:r>
        <w:t>4.3.3</w:t>
      </w:r>
      <w:r>
        <w:rPr>
          <w:rFonts w:hint="eastAsia"/>
        </w:rPr>
        <w:t>　发放程序</w:t>
      </w:r>
    </w:p>
    <w:p>
      <w:pPr>
        <w:pStyle w:val="43"/>
        <w:ind w:firstLine="560"/>
        <w:rPr>
          <w:lang w:bidi="en-US"/>
        </w:rPr>
      </w:pPr>
      <w:r>
        <w:rPr>
          <w:rFonts w:hint="eastAsia"/>
          <w:lang w:bidi="en-US"/>
        </w:rPr>
        <w:t>经年度核定上报州搬迁安置办公室审核批准后，将下达的后期扶持资金下达到县级财政专户，县财政局根据县搬迁安置办公室审核报送的后期扶持人口名册，将移民后期扶持专项资金转入县农村信用合作联社专户，县农村信用合作联社在收到移民后期扶持资金后</w:t>
      </w:r>
      <w:r>
        <w:rPr>
          <w:lang w:bidi="en-US"/>
        </w:rPr>
        <w:t>3</w:t>
      </w:r>
      <w:r>
        <w:rPr>
          <w:rFonts w:hint="eastAsia"/>
          <w:lang w:bidi="en-US"/>
        </w:rPr>
        <w:t>个工作日内，按县搬迁安置办公室提供人口名册以</w:t>
      </w:r>
      <w:r>
        <w:rPr>
          <w:lang w:bidi="en-US"/>
        </w:rPr>
        <w:t xml:space="preserve"> 1 </w:t>
      </w:r>
      <w:r>
        <w:rPr>
          <w:rFonts w:hint="eastAsia"/>
          <w:lang w:bidi="en-US"/>
        </w:rPr>
        <w:t>人</w:t>
      </w:r>
      <w:r>
        <w:rPr>
          <w:lang w:bidi="en-US"/>
        </w:rPr>
        <w:t>1</w:t>
      </w:r>
      <w:r>
        <w:rPr>
          <w:rFonts w:hint="eastAsia"/>
          <w:lang w:bidi="en-US"/>
        </w:rPr>
        <w:t>折（卡）的方式直接把移民后期扶持资金兑现给移民个人。</w:t>
      </w:r>
    </w:p>
    <w:p>
      <w:pPr>
        <w:pStyle w:val="3"/>
        <w:rPr>
          <w:rFonts w:hAnsi="Times New Roman" w:cs="Times New Roman"/>
          <w:szCs w:val="36"/>
        </w:rPr>
      </w:pPr>
      <w:bookmarkStart w:id="43" w:name="_Toc453771146"/>
      <w:bookmarkStart w:id="44" w:name="_Toc86914825"/>
      <w:bookmarkStart w:id="45" w:name="_Toc13296"/>
      <w:bookmarkStart w:id="46" w:name="_Toc436582066"/>
      <w:r>
        <w:rPr>
          <w:rFonts w:hAnsi="Times New Roman" w:cs="Times New Roman"/>
          <w:szCs w:val="36"/>
        </w:rPr>
        <w:t>4.4</w:t>
      </w:r>
      <w:r>
        <w:rPr>
          <w:rFonts w:hint="eastAsia" w:hAnsi="Times New Roman" w:cs="Times New Roman"/>
          <w:szCs w:val="36"/>
        </w:rPr>
        <w:t>　分年度发放金额及规划金额</w:t>
      </w:r>
      <w:bookmarkEnd w:id="43"/>
      <w:bookmarkEnd w:id="44"/>
      <w:bookmarkEnd w:id="45"/>
      <w:bookmarkEnd w:id="46"/>
    </w:p>
    <w:p>
      <w:pPr>
        <w:pStyle w:val="43"/>
        <w:ind w:firstLine="560"/>
        <w:rPr>
          <w:lang w:bidi="en-US"/>
        </w:rPr>
      </w:pPr>
      <w:r>
        <w:rPr>
          <w:rFonts w:hint="eastAsia"/>
          <w:lang w:bidi="en-US"/>
        </w:rPr>
        <w:t>经初步测算，元谋县“十四五”期间发放后扶直补资金4204.2万元，其中直补资金4117.02万元，项目扶持87.18万元各年度资金明细见表4.4-1。</w:t>
      </w:r>
    </w:p>
    <w:p>
      <w:pPr>
        <w:pStyle w:val="53"/>
        <w:ind w:firstLine="240"/>
        <w:rPr>
          <w:color w:val="000000"/>
          <w:lang w:bidi="en-US"/>
        </w:rPr>
      </w:pPr>
      <w:r>
        <w:rPr>
          <w:rFonts w:hint="eastAsia"/>
        </w:rPr>
        <w:t>表</w:t>
      </w:r>
      <w:r>
        <w:t>4.</w:t>
      </w:r>
      <w:r>
        <w:rPr>
          <w:rFonts w:hint="eastAsia"/>
        </w:rPr>
        <w:t>4</w:t>
      </w:r>
      <w:r>
        <w:t>-1　　</w:t>
      </w:r>
      <w:r>
        <w:rPr>
          <w:rFonts w:hint="eastAsia"/>
        </w:rPr>
        <w:t>　　　　</w:t>
      </w:r>
      <w:r>
        <w:t>　</w:t>
      </w:r>
      <w:r>
        <w:rPr>
          <w:rFonts w:hint="eastAsia"/>
        </w:rPr>
        <w:t xml:space="preserve"> 元谋县后期扶持基金“十四五”分年度规划表</w:t>
      </w:r>
    </w:p>
    <w:tbl>
      <w:tblPr>
        <w:tblStyle w:val="23"/>
        <w:tblW w:w="9260" w:type="dxa"/>
        <w:jc w:val="center"/>
        <w:tblInd w:w="0" w:type="dxa"/>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700"/>
        <w:gridCol w:w="1080"/>
        <w:gridCol w:w="1080"/>
        <w:gridCol w:w="1280"/>
        <w:gridCol w:w="1280"/>
        <w:gridCol w:w="1280"/>
        <w:gridCol w:w="1280"/>
        <w:gridCol w:w="1280"/>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270" w:hRule="atLeast"/>
          <w:jc w:val="center"/>
        </w:trPr>
        <w:tc>
          <w:tcPr>
            <w:tcW w:w="700" w:type="dxa"/>
            <w:vMerge w:val="restart"/>
            <w:shd w:val="clear" w:color="auto" w:fill="auto"/>
            <w:vAlign w:val="center"/>
          </w:tcPr>
          <w:p>
            <w:pPr>
              <w:pStyle w:val="52"/>
            </w:pPr>
            <w:r>
              <w:rPr>
                <w:rFonts w:hint="eastAsia"/>
              </w:rPr>
              <w:t>序号</w:t>
            </w:r>
          </w:p>
        </w:tc>
        <w:tc>
          <w:tcPr>
            <w:tcW w:w="1080" w:type="dxa"/>
            <w:vMerge w:val="restart"/>
            <w:shd w:val="clear" w:color="auto" w:fill="auto"/>
            <w:vAlign w:val="center"/>
          </w:tcPr>
          <w:p>
            <w:pPr>
              <w:pStyle w:val="52"/>
            </w:pPr>
            <w:r>
              <w:rPr>
                <w:rFonts w:hint="eastAsia"/>
              </w:rPr>
              <w:t>年度</w:t>
            </w:r>
          </w:p>
        </w:tc>
        <w:tc>
          <w:tcPr>
            <w:tcW w:w="1080" w:type="dxa"/>
            <w:vMerge w:val="restart"/>
            <w:shd w:val="clear" w:color="auto" w:fill="auto"/>
            <w:vAlign w:val="center"/>
          </w:tcPr>
          <w:p>
            <w:pPr>
              <w:pStyle w:val="52"/>
            </w:pPr>
            <w:r>
              <w:rPr>
                <w:rFonts w:hint="eastAsia"/>
              </w:rPr>
              <w:t>核定后扶人口</w:t>
            </w:r>
          </w:p>
        </w:tc>
        <w:tc>
          <w:tcPr>
            <w:tcW w:w="2560" w:type="dxa"/>
            <w:gridSpan w:val="2"/>
            <w:shd w:val="clear" w:color="auto" w:fill="auto"/>
            <w:vAlign w:val="center"/>
          </w:tcPr>
          <w:p>
            <w:pPr>
              <w:pStyle w:val="52"/>
            </w:pPr>
            <w:r>
              <w:rPr>
                <w:rFonts w:hint="eastAsia"/>
              </w:rPr>
              <w:t>资金直补到人</w:t>
            </w:r>
          </w:p>
        </w:tc>
        <w:tc>
          <w:tcPr>
            <w:tcW w:w="2560" w:type="dxa"/>
            <w:gridSpan w:val="2"/>
            <w:shd w:val="clear" w:color="auto" w:fill="auto"/>
            <w:vAlign w:val="center"/>
          </w:tcPr>
          <w:p>
            <w:pPr>
              <w:pStyle w:val="52"/>
            </w:pPr>
            <w:r>
              <w:rPr>
                <w:rFonts w:hint="eastAsia"/>
              </w:rPr>
              <w:t>项目扶持</w:t>
            </w:r>
          </w:p>
        </w:tc>
        <w:tc>
          <w:tcPr>
            <w:tcW w:w="1280" w:type="dxa"/>
            <w:vMerge w:val="restart"/>
            <w:shd w:val="clear" w:color="auto" w:fill="auto"/>
            <w:vAlign w:val="center"/>
          </w:tcPr>
          <w:p>
            <w:pPr>
              <w:pStyle w:val="52"/>
            </w:pPr>
            <w:r>
              <w:rPr>
                <w:rFonts w:hint="eastAsia"/>
              </w:rPr>
              <w:t>资金合计（万元）</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480" w:hRule="atLeast"/>
          <w:jc w:val="center"/>
        </w:trPr>
        <w:tc>
          <w:tcPr>
            <w:tcW w:w="700" w:type="dxa"/>
            <w:vMerge w:val="continue"/>
            <w:vAlign w:val="center"/>
          </w:tcPr>
          <w:p>
            <w:pPr>
              <w:pStyle w:val="52"/>
            </w:pPr>
          </w:p>
        </w:tc>
        <w:tc>
          <w:tcPr>
            <w:tcW w:w="1080" w:type="dxa"/>
            <w:vMerge w:val="continue"/>
            <w:vAlign w:val="center"/>
          </w:tcPr>
          <w:p>
            <w:pPr>
              <w:pStyle w:val="52"/>
            </w:pPr>
          </w:p>
        </w:tc>
        <w:tc>
          <w:tcPr>
            <w:tcW w:w="1080" w:type="dxa"/>
            <w:vMerge w:val="continue"/>
            <w:vAlign w:val="center"/>
          </w:tcPr>
          <w:p>
            <w:pPr>
              <w:pStyle w:val="52"/>
            </w:pPr>
          </w:p>
        </w:tc>
        <w:tc>
          <w:tcPr>
            <w:tcW w:w="1280" w:type="dxa"/>
            <w:shd w:val="clear" w:color="auto" w:fill="auto"/>
            <w:vAlign w:val="center"/>
          </w:tcPr>
          <w:p>
            <w:pPr>
              <w:pStyle w:val="52"/>
            </w:pPr>
            <w:r>
              <w:rPr>
                <w:rFonts w:hint="eastAsia"/>
              </w:rPr>
              <w:t>人口（人）</w:t>
            </w:r>
          </w:p>
        </w:tc>
        <w:tc>
          <w:tcPr>
            <w:tcW w:w="1280" w:type="dxa"/>
            <w:shd w:val="clear" w:color="auto" w:fill="auto"/>
            <w:vAlign w:val="center"/>
          </w:tcPr>
          <w:p>
            <w:pPr>
              <w:pStyle w:val="52"/>
            </w:pPr>
            <w:r>
              <w:rPr>
                <w:rFonts w:hint="eastAsia"/>
              </w:rPr>
              <w:t>资金　　（万元）</w:t>
            </w:r>
          </w:p>
        </w:tc>
        <w:tc>
          <w:tcPr>
            <w:tcW w:w="1280" w:type="dxa"/>
            <w:shd w:val="clear" w:color="auto" w:fill="auto"/>
            <w:vAlign w:val="center"/>
          </w:tcPr>
          <w:p>
            <w:pPr>
              <w:pStyle w:val="52"/>
            </w:pPr>
            <w:r>
              <w:rPr>
                <w:rFonts w:hint="eastAsia"/>
              </w:rPr>
              <w:t>小计</w:t>
            </w:r>
          </w:p>
        </w:tc>
        <w:tc>
          <w:tcPr>
            <w:tcW w:w="1280" w:type="dxa"/>
            <w:shd w:val="clear" w:color="auto" w:fill="auto"/>
            <w:vAlign w:val="center"/>
          </w:tcPr>
          <w:p>
            <w:pPr>
              <w:pStyle w:val="52"/>
            </w:pPr>
            <w:r>
              <w:rPr>
                <w:rFonts w:hint="eastAsia"/>
              </w:rPr>
              <w:t>资金　　（万元）</w:t>
            </w:r>
          </w:p>
        </w:tc>
        <w:tc>
          <w:tcPr>
            <w:tcW w:w="1280" w:type="dxa"/>
            <w:vMerge w:val="continue"/>
            <w:vAlign w:val="center"/>
          </w:tcPr>
          <w:p>
            <w:pPr>
              <w:pStyle w:val="52"/>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270" w:hRule="atLeast"/>
          <w:jc w:val="center"/>
        </w:trPr>
        <w:tc>
          <w:tcPr>
            <w:tcW w:w="700" w:type="dxa"/>
            <w:shd w:val="clear" w:color="auto" w:fill="auto"/>
            <w:noWrap/>
            <w:vAlign w:val="center"/>
          </w:tcPr>
          <w:p>
            <w:pPr>
              <w:pStyle w:val="52"/>
            </w:pPr>
            <w:r>
              <w:rPr>
                <w:rFonts w:hint="eastAsia"/>
              </w:rPr>
              <w:t>1</w:t>
            </w:r>
          </w:p>
        </w:tc>
        <w:tc>
          <w:tcPr>
            <w:tcW w:w="1080" w:type="dxa"/>
            <w:shd w:val="clear" w:color="auto" w:fill="auto"/>
            <w:noWrap/>
            <w:vAlign w:val="center"/>
          </w:tcPr>
          <w:p>
            <w:pPr>
              <w:pStyle w:val="52"/>
            </w:pPr>
            <w:r>
              <w:rPr>
                <w:rFonts w:hint="eastAsia"/>
              </w:rPr>
              <w:t>2021</w:t>
            </w:r>
          </w:p>
        </w:tc>
        <w:tc>
          <w:tcPr>
            <w:tcW w:w="1080" w:type="dxa"/>
            <w:shd w:val="clear" w:color="auto" w:fill="auto"/>
            <w:noWrap/>
            <w:vAlign w:val="center"/>
          </w:tcPr>
          <w:p>
            <w:pPr>
              <w:pStyle w:val="52"/>
            </w:pPr>
            <w:r>
              <w:rPr>
                <w:rFonts w:hint="eastAsia"/>
              </w:rPr>
              <w:t>14014</w:t>
            </w:r>
          </w:p>
        </w:tc>
        <w:tc>
          <w:tcPr>
            <w:tcW w:w="1280" w:type="dxa"/>
            <w:shd w:val="clear" w:color="auto" w:fill="auto"/>
            <w:noWrap/>
            <w:vAlign w:val="center"/>
          </w:tcPr>
          <w:p>
            <w:pPr>
              <w:pStyle w:val="52"/>
            </w:pPr>
            <w:r>
              <w:rPr>
                <w:rFonts w:hint="eastAsia"/>
              </w:rPr>
              <w:t>13916</w:t>
            </w:r>
          </w:p>
        </w:tc>
        <w:tc>
          <w:tcPr>
            <w:tcW w:w="1280" w:type="dxa"/>
            <w:shd w:val="clear" w:color="auto" w:fill="auto"/>
            <w:noWrap/>
            <w:vAlign w:val="bottom"/>
          </w:tcPr>
          <w:p>
            <w:pPr>
              <w:pStyle w:val="52"/>
            </w:pPr>
            <w:r>
              <w:rPr>
                <w:rFonts w:hint="eastAsia"/>
              </w:rPr>
              <w:t>834.96</w:t>
            </w:r>
          </w:p>
        </w:tc>
        <w:tc>
          <w:tcPr>
            <w:tcW w:w="1280" w:type="dxa"/>
            <w:shd w:val="clear" w:color="auto" w:fill="auto"/>
            <w:noWrap/>
            <w:vAlign w:val="center"/>
          </w:tcPr>
          <w:p>
            <w:pPr>
              <w:pStyle w:val="52"/>
            </w:pPr>
            <w:r>
              <w:rPr>
                <w:rFonts w:hint="eastAsia"/>
              </w:rPr>
              <w:t>98</w:t>
            </w:r>
          </w:p>
        </w:tc>
        <w:tc>
          <w:tcPr>
            <w:tcW w:w="1280" w:type="dxa"/>
            <w:shd w:val="clear" w:color="auto" w:fill="auto"/>
            <w:noWrap/>
            <w:vAlign w:val="bottom"/>
          </w:tcPr>
          <w:p>
            <w:pPr>
              <w:pStyle w:val="52"/>
            </w:pPr>
            <w:r>
              <w:rPr>
                <w:rFonts w:hint="eastAsia"/>
              </w:rPr>
              <w:t>5.88</w:t>
            </w:r>
          </w:p>
        </w:tc>
        <w:tc>
          <w:tcPr>
            <w:tcW w:w="1280" w:type="dxa"/>
            <w:shd w:val="clear" w:color="auto" w:fill="auto"/>
            <w:noWrap/>
            <w:vAlign w:val="bottom"/>
          </w:tcPr>
          <w:p>
            <w:pPr>
              <w:pStyle w:val="52"/>
            </w:pPr>
            <w:r>
              <w:rPr>
                <w:rFonts w:hint="eastAsia"/>
              </w:rPr>
              <w:t>840.84</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270" w:hRule="atLeast"/>
          <w:jc w:val="center"/>
        </w:trPr>
        <w:tc>
          <w:tcPr>
            <w:tcW w:w="700" w:type="dxa"/>
            <w:shd w:val="clear" w:color="auto" w:fill="auto"/>
            <w:noWrap/>
            <w:vAlign w:val="center"/>
          </w:tcPr>
          <w:p>
            <w:pPr>
              <w:pStyle w:val="52"/>
            </w:pPr>
            <w:r>
              <w:rPr>
                <w:rFonts w:hint="eastAsia"/>
              </w:rPr>
              <w:t>2</w:t>
            </w:r>
          </w:p>
        </w:tc>
        <w:tc>
          <w:tcPr>
            <w:tcW w:w="1080" w:type="dxa"/>
            <w:shd w:val="clear" w:color="auto" w:fill="auto"/>
            <w:noWrap/>
            <w:vAlign w:val="center"/>
          </w:tcPr>
          <w:p>
            <w:pPr>
              <w:pStyle w:val="52"/>
            </w:pPr>
            <w:r>
              <w:rPr>
                <w:rFonts w:hint="eastAsia"/>
              </w:rPr>
              <w:t>2022</w:t>
            </w:r>
          </w:p>
        </w:tc>
        <w:tc>
          <w:tcPr>
            <w:tcW w:w="1080" w:type="dxa"/>
            <w:shd w:val="clear" w:color="auto" w:fill="auto"/>
            <w:noWrap/>
            <w:vAlign w:val="center"/>
          </w:tcPr>
          <w:p>
            <w:pPr>
              <w:pStyle w:val="52"/>
            </w:pPr>
            <w:r>
              <w:rPr>
                <w:rFonts w:hint="eastAsia"/>
              </w:rPr>
              <w:t>14014</w:t>
            </w:r>
          </w:p>
        </w:tc>
        <w:tc>
          <w:tcPr>
            <w:tcW w:w="1280" w:type="dxa"/>
            <w:shd w:val="clear" w:color="auto" w:fill="auto"/>
            <w:noWrap/>
            <w:vAlign w:val="center"/>
          </w:tcPr>
          <w:p>
            <w:pPr>
              <w:pStyle w:val="52"/>
            </w:pPr>
            <w:r>
              <w:rPr>
                <w:rFonts w:hint="eastAsia"/>
              </w:rPr>
              <w:t>13819</w:t>
            </w:r>
          </w:p>
        </w:tc>
        <w:tc>
          <w:tcPr>
            <w:tcW w:w="1280" w:type="dxa"/>
            <w:shd w:val="clear" w:color="auto" w:fill="auto"/>
            <w:noWrap/>
            <w:vAlign w:val="bottom"/>
          </w:tcPr>
          <w:p>
            <w:pPr>
              <w:pStyle w:val="52"/>
            </w:pPr>
            <w:r>
              <w:rPr>
                <w:rFonts w:hint="eastAsia"/>
              </w:rPr>
              <w:t>829.14</w:t>
            </w:r>
          </w:p>
        </w:tc>
        <w:tc>
          <w:tcPr>
            <w:tcW w:w="1280" w:type="dxa"/>
            <w:shd w:val="clear" w:color="auto" w:fill="auto"/>
            <w:noWrap/>
            <w:vAlign w:val="center"/>
          </w:tcPr>
          <w:p>
            <w:pPr>
              <w:pStyle w:val="52"/>
            </w:pPr>
            <w:r>
              <w:rPr>
                <w:rFonts w:hint="eastAsia"/>
              </w:rPr>
              <w:t>195</w:t>
            </w:r>
          </w:p>
        </w:tc>
        <w:tc>
          <w:tcPr>
            <w:tcW w:w="1280" w:type="dxa"/>
            <w:shd w:val="clear" w:color="auto" w:fill="auto"/>
            <w:noWrap/>
            <w:vAlign w:val="bottom"/>
          </w:tcPr>
          <w:p>
            <w:pPr>
              <w:pStyle w:val="52"/>
            </w:pPr>
            <w:r>
              <w:rPr>
                <w:rFonts w:hint="eastAsia"/>
              </w:rPr>
              <w:t>11.7</w:t>
            </w:r>
          </w:p>
        </w:tc>
        <w:tc>
          <w:tcPr>
            <w:tcW w:w="1280" w:type="dxa"/>
            <w:shd w:val="clear" w:color="auto" w:fill="auto"/>
            <w:noWrap/>
            <w:vAlign w:val="bottom"/>
          </w:tcPr>
          <w:p>
            <w:pPr>
              <w:pStyle w:val="52"/>
            </w:pPr>
            <w:r>
              <w:rPr>
                <w:rFonts w:hint="eastAsia"/>
              </w:rPr>
              <w:t>840.84</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270" w:hRule="atLeast"/>
          <w:jc w:val="center"/>
        </w:trPr>
        <w:tc>
          <w:tcPr>
            <w:tcW w:w="700" w:type="dxa"/>
            <w:shd w:val="clear" w:color="auto" w:fill="auto"/>
            <w:noWrap/>
            <w:vAlign w:val="center"/>
          </w:tcPr>
          <w:p>
            <w:pPr>
              <w:pStyle w:val="52"/>
            </w:pPr>
            <w:r>
              <w:rPr>
                <w:rFonts w:hint="eastAsia"/>
              </w:rPr>
              <w:t>3</w:t>
            </w:r>
          </w:p>
        </w:tc>
        <w:tc>
          <w:tcPr>
            <w:tcW w:w="1080" w:type="dxa"/>
            <w:shd w:val="clear" w:color="auto" w:fill="auto"/>
            <w:noWrap/>
            <w:vAlign w:val="center"/>
          </w:tcPr>
          <w:p>
            <w:pPr>
              <w:pStyle w:val="52"/>
            </w:pPr>
            <w:r>
              <w:rPr>
                <w:rFonts w:hint="eastAsia"/>
              </w:rPr>
              <w:t>2023</w:t>
            </w:r>
          </w:p>
        </w:tc>
        <w:tc>
          <w:tcPr>
            <w:tcW w:w="1080" w:type="dxa"/>
            <w:shd w:val="clear" w:color="auto" w:fill="auto"/>
            <w:noWrap/>
            <w:vAlign w:val="center"/>
          </w:tcPr>
          <w:p>
            <w:pPr>
              <w:pStyle w:val="52"/>
            </w:pPr>
            <w:r>
              <w:rPr>
                <w:rFonts w:hint="eastAsia"/>
              </w:rPr>
              <w:t>14566</w:t>
            </w:r>
          </w:p>
        </w:tc>
        <w:tc>
          <w:tcPr>
            <w:tcW w:w="1280" w:type="dxa"/>
            <w:shd w:val="clear" w:color="auto" w:fill="auto"/>
            <w:noWrap/>
            <w:vAlign w:val="center"/>
          </w:tcPr>
          <w:p>
            <w:pPr>
              <w:pStyle w:val="52"/>
            </w:pPr>
            <w:r>
              <w:rPr>
                <w:rFonts w:hint="eastAsia"/>
              </w:rPr>
              <w:t>13722</w:t>
            </w:r>
          </w:p>
        </w:tc>
        <w:tc>
          <w:tcPr>
            <w:tcW w:w="1280" w:type="dxa"/>
            <w:shd w:val="clear" w:color="auto" w:fill="auto"/>
            <w:noWrap/>
            <w:vAlign w:val="bottom"/>
          </w:tcPr>
          <w:p>
            <w:pPr>
              <w:pStyle w:val="52"/>
            </w:pPr>
            <w:r>
              <w:rPr>
                <w:rFonts w:hint="eastAsia"/>
              </w:rPr>
              <w:t>823.32</w:t>
            </w:r>
          </w:p>
        </w:tc>
        <w:tc>
          <w:tcPr>
            <w:tcW w:w="1280" w:type="dxa"/>
            <w:shd w:val="clear" w:color="auto" w:fill="auto"/>
            <w:noWrap/>
            <w:vAlign w:val="center"/>
          </w:tcPr>
          <w:p>
            <w:pPr>
              <w:pStyle w:val="52"/>
            </w:pPr>
            <w:r>
              <w:rPr>
                <w:rFonts w:hint="eastAsia"/>
              </w:rPr>
              <w:t>292</w:t>
            </w:r>
          </w:p>
        </w:tc>
        <w:tc>
          <w:tcPr>
            <w:tcW w:w="1280" w:type="dxa"/>
            <w:shd w:val="clear" w:color="auto" w:fill="auto"/>
            <w:noWrap/>
            <w:vAlign w:val="bottom"/>
          </w:tcPr>
          <w:p>
            <w:pPr>
              <w:pStyle w:val="52"/>
            </w:pPr>
            <w:r>
              <w:rPr>
                <w:rFonts w:hint="eastAsia"/>
              </w:rPr>
              <w:t>17.52</w:t>
            </w:r>
          </w:p>
        </w:tc>
        <w:tc>
          <w:tcPr>
            <w:tcW w:w="1280" w:type="dxa"/>
            <w:shd w:val="clear" w:color="auto" w:fill="auto"/>
            <w:noWrap/>
            <w:vAlign w:val="bottom"/>
          </w:tcPr>
          <w:p>
            <w:pPr>
              <w:pStyle w:val="52"/>
            </w:pPr>
            <w:r>
              <w:rPr>
                <w:rFonts w:hint="eastAsia"/>
              </w:rPr>
              <w:t>840.84</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270" w:hRule="atLeast"/>
          <w:jc w:val="center"/>
        </w:trPr>
        <w:tc>
          <w:tcPr>
            <w:tcW w:w="700" w:type="dxa"/>
            <w:shd w:val="clear" w:color="auto" w:fill="auto"/>
            <w:noWrap/>
            <w:vAlign w:val="center"/>
          </w:tcPr>
          <w:p>
            <w:pPr>
              <w:pStyle w:val="52"/>
            </w:pPr>
            <w:r>
              <w:rPr>
                <w:rFonts w:hint="eastAsia"/>
              </w:rPr>
              <w:t>4</w:t>
            </w:r>
          </w:p>
        </w:tc>
        <w:tc>
          <w:tcPr>
            <w:tcW w:w="1080" w:type="dxa"/>
            <w:shd w:val="clear" w:color="auto" w:fill="auto"/>
            <w:noWrap/>
            <w:vAlign w:val="center"/>
          </w:tcPr>
          <w:p>
            <w:pPr>
              <w:pStyle w:val="52"/>
            </w:pPr>
            <w:r>
              <w:rPr>
                <w:rFonts w:hint="eastAsia"/>
              </w:rPr>
              <w:t>2024</w:t>
            </w:r>
          </w:p>
        </w:tc>
        <w:tc>
          <w:tcPr>
            <w:tcW w:w="1080" w:type="dxa"/>
            <w:shd w:val="clear" w:color="auto" w:fill="auto"/>
            <w:noWrap/>
            <w:vAlign w:val="center"/>
          </w:tcPr>
          <w:p>
            <w:pPr>
              <w:pStyle w:val="52"/>
            </w:pPr>
            <w:r>
              <w:rPr>
                <w:rFonts w:hint="eastAsia"/>
              </w:rPr>
              <w:t>14566</w:t>
            </w:r>
          </w:p>
        </w:tc>
        <w:tc>
          <w:tcPr>
            <w:tcW w:w="1280" w:type="dxa"/>
            <w:shd w:val="clear" w:color="auto" w:fill="auto"/>
            <w:noWrap/>
            <w:vAlign w:val="center"/>
          </w:tcPr>
          <w:p>
            <w:pPr>
              <w:pStyle w:val="52"/>
            </w:pPr>
            <w:r>
              <w:rPr>
                <w:rFonts w:hint="eastAsia"/>
              </w:rPr>
              <w:t>13627</w:t>
            </w:r>
          </w:p>
        </w:tc>
        <w:tc>
          <w:tcPr>
            <w:tcW w:w="1280" w:type="dxa"/>
            <w:shd w:val="clear" w:color="auto" w:fill="auto"/>
            <w:noWrap/>
            <w:vAlign w:val="bottom"/>
          </w:tcPr>
          <w:p>
            <w:pPr>
              <w:pStyle w:val="52"/>
            </w:pPr>
            <w:r>
              <w:rPr>
                <w:rFonts w:hint="eastAsia"/>
              </w:rPr>
              <w:t>817.62</w:t>
            </w:r>
          </w:p>
        </w:tc>
        <w:tc>
          <w:tcPr>
            <w:tcW w:w="1280" w:type="dxa"/>
            <w:shd w:val="clear" w:color="auto" w:fill="auto"/>
            <w:noWrap/>
            <w:vAlign w:val="center"/>
          </w:tcPr>
          <w:p>
            <w:pPr>
              <w:pStyle w:val="52"/>
            </w:pPr>
            <w:r>
              <w:rPr>
                <w:rFonts w:hint="eastAsia"/>
              </w:rPr>
              <w:t>387</w:t>
            </w:r>
          </w:p>
        </w:tc>
        <w:tc>
          <w:tcPr>
            <w:tcW w:w="1280" w:type="dxa"/>
            <w:shd w:val="clear" w:color="auto" w:fill="auto"/>
            <w:noWrap/>
            <w:vAlign w:val="bottom"/>
          </w:tcPr>
          <w:p>
            <w:pPr>
              <w:pStyle w:val="52"/>
            </w:pPr>
            <w:r>
              <w:rPr>
                <w:rFonts w:hint="eastAsia"/>
              </w:rPr>
              <w:t>23.22</w:t>
            </w:r>
          </w:p>
        </w:tc>
        <w:tc>
          <w:tcPr>
            <w:tcW w:w="1280" w:type="dxa"/>
            <w:shd w:val="clear" w:color="auto" w:fill="auto"/>
            <w:noWrap/>
            <w:vAlign w:val="bottom"/>
          </w:tcPr>
          <w:p>
            <w:pPr>
              <w:pStyle w:val="52"/>
            </w:pPr>
            <w:r>
              <w:rPr>
                <w:rFonts w:hint="eastAsia"/>
              </w:rPr>
              <w:t>840.84</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270" w:hRule="atLeast"/>
          <w:jc w:val="center"/>
        </w:trPr>
        <w:tc>
          <w:tcPr>
            <w:tcW w:w="700" w:type="dxa"/>
            <w:shd w:val="clear" w:color="auto" w:fill="auto"/>
            <w:noWrap/>
            <w:vAlign w:val="center"/>
          </w:tcPr>
          <w:p>
            <w:pPr>
              <w:pStyle w:val="52"/>
            </w:pPr>
            <w:r>
              <w:rPr>
                <w:rFonts w:hint="eastAsia"/>
              </w:rPr>
              <w:t>5</w:t>
            </w:r>
          </w:p>
        </w:tc>
        <w:tc>
          <w:tcPr>
            <w:tcW w:w="1080" w:type="dxa"/>
            <w:shd w:val="clear" w:color="auto" w:fill="auto"/>
            <w:noWrap/>
            <w:vAlign w:val="center"/>
          </w:tcPr>
          <w:p>
            <w:pPr>
              <w:pStyle w:val="52"/>
            </w:pPr>
            <w:r>
              <w:rPr>
                <w:rFonts w:hint="eastAsia"/>
              </w:rPr>
              <w:t>2025</w:t>
            </w:r>
          </w:p>
        </w:tc>
        <w:tc>
          <w:tcPr>
            <w:tcW w:w="1080" w:type="dxa"/>
            <w:shd w:val="clear" w:color="auto" w:fill="auto"/>
            <w:noWrap/>
            <w:vAlign w:val="center"/>
          </w:tcPr>
          <w:p>
            <w:pPr>
              <w:pStyle w:val="52"/>
            </w:pPr>
            <w:r>
              <w:rPr>
                <w:rFonts w:hint="eastAsia"/>
              </w:rPr>
              <w:t>14566</w:t>
            </w:r>
          </w:p>
        </w:tc>
        <w:tc>
          <w:tcPr>
            <w:tcW w:w="1280" w:type="dxa"/>
            <w:shd w:val="clear" w:color="auto" w:fill="auto"/>
            <w:noWrap/>
            <w:vAlign w:val="center"/>
          </w:tcPr>
          <w:p>
            <w:pPr>
              <w:pStyle w:val="52"/>
            </w:pPr>
            <w:r>
              <w:rPr>
                <w:rFonts w:hint="eastAsia"/>
              </w:rPr>
              <w:t>13533</w:t>
            </w:r>
          </w:p>
        </w:tc>
        <w:tc>
          <w:tcPr>
            <w:tcW w:w="1280" w:type="dxa"/>
            <w:shd w:val="clear" w:color="auto" w:fill="auto"/>
            <w:noWrap/>
            <w:vAlign w:val="bottom"/>
          </w:tcPr>
          <w:p>
            <w:pPr>
              <w:pStyle w:val="52"/>
            </w:pPr>
            <w:r>
              <w:rPr>
                <w:rFonts w:hint="eastAsia"/>
              </w:rPr>
              <w:t>811.98</w:t>
            </w:r>
          </w:p>
        </w:tc>
        <w:tc>
          <w:tcPr>
            <w:tcW w:w="1280" w:type="dxa"/>
            <w:shd w:val="clear" w:color="auto" w:fill="auto"/>
            <w:noWrap/>
            <w:vAlign w:val="center"/>
          </w:tcPr>
          <w:p>
            <w:pPr>
              <w:pStyle w:val="52"/>
            </w:pPr>
            <w:r>
              <w:rPr>
                <w:rFonts w:hint="eastAsia"/>
              </w:rPr>
              <w:t>481</w:t>
            </w:r>
          </w:p>
        </w:tc>
        <w:tc>
          <w:tcPr>
            <w:tcW w:w="1280" w:type="dxa"/>
            <w:shd w:val="clear" w:color="auto" w:fill="auto"/>
            <w:noWrap/>
            <w:vAlign w:val="bottom"/>
          </w:tcPr>
          <w:p>
            <w:pPr>
              <w:pStyle w:val="52"/>
            </w:pPr>
            <w:r>
              <w:rPr>
                <w:rFonts w:hint="eastAsia"/>
              </w:rPr>
              <w:t>28.86</w:t>
            </w:r>
          </w:p>
        </w:tc>
        <w:tc>
          <w:tcPr>
            <w:tcW w:w="1280" w:type="dxa"/>
            <w:shd w:val="clear" w:color="auto" w:fill="auto"/>
            <w:noWrap/>
            <w:vAlign w:val="bottom"/>
          </w:tcPr>
          <w:p>
            <w:pPr>
              <w:pStyle w:val="52"/>
            </w:pPr>
            <w:r>
              <w:rPr>
                <w:rFonts w:hint="eastAsia"/>
              </w:rPr>
              <w:t>840.84</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270" w:hRule="atLeast"/>
          <w:jc w:val="center"/>
        </w:trPr>
        <w:tc>
          <w:tcPr>
            <w:tcW w:w="700" w:type="dxa"/>
            <w:shd w:val="clear" w:color="auto" w:fill="auto"/>
            <w:noWrap/>
            <w:vAlign w:val="center"/>
          </w:tcPr>
          <w:p>
            <w:pPr>
              <w:pStyle w:val="52"/>
            </w:pPr>
            <w:r>
              <w:rPr>
                <w:rFonts w:hint="eastAsia"/>
              </w:rPr>
              <w:t>合计</w:t>
            </w:r>
          </w:p>
        </w:tc>
        <w:tc>
          <w:tcPr>
            <w:tcW w:w="1080" w:type="dxa"/>
            <w:shd w:val="clear" w:color="auto" w:fill="auto"/>
            <w:noWrap/>
            <w:vAlign w:val="center"/>
          </w:tcPr>
          <w:p>
            <w:pPr>
              <w:pStyle w:val="52"/>
              <w:rPr>
                <w:rFonts w:ascii="宋体" w:eastAsia="宋体"/>
                <w:sz w:val="22"/>
              </w:rPr>
            </w:pPr>
            <w:r>
              <w:rPr>
                <w:rFonts w:hint="eastAsia" w:ascii="宋体" w:eastAsia="宋体"/>
                <w:sz w:val="22"/>
              </w:rPr>
              <w:t>　</w:t>
            </w:r>
          </w:p>
        </w:tc>
        <w:tc>
          <w:tcPr>
            <w:tcW w:w="1080" w:type="dxa"/>
            <w:shd w:val="clear" w:color="auto" w:fill="auto"/>
            <w:noWrap/>
            <w:vAlign w:val="center"/>
          </w:tcPr>
          <w:p>
            <w:pPr>
              <w:pStyle w:val="52"/>
              <w:rPr>
                <w:rFonts w:ascii="宋体" w:eastAsia="宋体"/>
                <w:sz w:val="22"/>
              </w:rPr>
            </w:pPr>
            <w:r>
              <w:rPr>
                <w:rFonts w:hint="eastAsia" w:ascii="宋体" w:eastAsia="宋体"/>
                <w:sz w:val="22"/>
              </w:rPr>
              <w:t>　</w:t>
            </w:r>
          </w:p>
        </w:tc>
        <w:tc>
          <w:tcPr>
            <w:tcW w:w="1280" w:type="dxa"/>
            <w:shd w:val="clear" w:color="auto" w:fill="auto"/>
            <w:noWrap/>
            <w:vAlign w:val="center"/>
          </w:tcPr>
          <w:p>
            <w:pPr>
              <w:pStyle w:val="52"/>
            </w:pPr>
            <w:r>
              <w:rPr>
                <w:rFonts w:hint="eastAsia"/>
              </w:rPr>
              <w:t>　</w:t>
            </w:r>
          </w:p>
        </w:tc>
        <w:tc>
          <w:tcPr>
            <w:tcW w:w="1280" w:type="dxa"/>
            <w:shd w:val="clear" w:color="auto" w:fill="auto"/>
            <w:noWrap/>
            <w:vAlign w:val="bottom"/>
          </w:tcPr>
          <w:p>
            <w:pPr>
              <w:pStyle w:val="52"/>
            </w:pPr>
            <w:r>
              <w:rPr>
                <w:rFonts w:hint="eastAsia"/>
              </w:rPr>
              <w:t>4117.02</w:t>
            </w:r>
          </w:p>
        </w:tc>
        <w:tc>
          <w:tcPr>
            <w:tcW w:w="1280" w:type="dxa"/>
            <w:shd w:val="clear" w:color="auto" w:fill="auto"/>
            <w:noWrap/>
            <w:vAlign w:val="center"/>
          </w:tcPr>
          <w:p>
            <w:pPr>
              <w:pStyle w:val="52"/>
            </w:pPr>
            <w:r>
              <w:rPr>
                <w:rFonts w:hint="eastAsia"/>
              </w:rPr>
              <w:t>　</w:t>
            </w:r>
          </w:p>
        </w:tc>
        <w:tc>
          <w:tcPr>
            <w:tcW w:w="1280" w:type="dxa"/>
            <w:shd w:val="clear" w:color="auto" w:fill="auto"/>
            <w:noWrap/>
            <w:vAlign w:val="bottom"/>
          </w:tcPr>
          <w:p>
            <w:pPr>
              <w:pStyle w:val="52"/>
            </w:pPr>
            <w:r>
              <w:rPr>
                <w:rFonts w:hint="eastAsia"/>
              </w:rPr>
              <w:t>87.18</w:t>
            </w:r>
          </w:p>
        </w:tc>
        <w:tc>
          <w:tcPr>
            <w:tcW w:w="1280" w:type="dxa"/>
            <w:shd w:val="clear" w:color="auto" w:fill="auto"/>
            <w:noWrap/>
            <w:vAlign w:val="bottom"/>
          </w:tcPr>
          <w:p>
            <w:pPr>
              <w:pStyle w:val="52"/>
            </w:pPr>
            <w:r>
              <w:rPr>
                <w:rFonts w:hint="eastAsia"/>
              </w:rPr>
              <w:t>4204.2</w:t>
            </w:r>
          </w:p>
        </w:tc>
      </w:tr>
    </w:tbl>
    <w:p>
      <w:pPr>
        <w:pStyle w:val="3"/>
        <w:rPr>
          <w:rFonts w:hAnsi="Times New Roman" w:cs="Times New Roman"/>
          <w:szCs w:val="36"/>
        </w:rPr>
      </w:pPr>
      <w:bookmarkStart w:id="47" w:name="_Toc13197"/>
      <w:bookmarkStart w:id="48" w:name="_Toc86914826"/>
      <w:bookmarkStart w:id="49" w:name="_Toc436582067"/>
      <w:bookmarkStart w:id="50" w:name="_Toc453771147"/>
      <w:r>
        <w:rPr>
          <w:rFonts w:hAnsi="Times New Roman" w:cs="Times New Roman"/>
          <w:szCs w:val="36"/>
        </w:rPr>
        <w:t>4.5</w:t>
      </w:r>
      <w:r>
        <w:rPr>
          <w:rFonts w:hint="eastAsia" w:hAnsi="Times New Roman" w:cs="Times New Roman"/>
          <w:szCs w:val="36"/>
        </w:rPr>
        <w:t>　资金使用效益预测</w:t>
      </w:r>
      <w:bookmarkEnd w:id="47"/>
      <w:bookmarkEnd w:id="48"/>
      <w:bookmarkEnd w:id="49"/>
      <w:bookmarkEnd w:id="50"/>
    </w:p>
    <w:p>
      <w:pPr>
        <w:pStyle w:val="43"/>
        <w:ind w:firstLine="560"/>
        <w:rPr>
          <w:lang w:bidi="en-US"/>
        </w:rPr>
      </w:pPr>
      <w:r>
        <w:rPr>
          <w:rFonts w:hint="eastAsia"/>
          <w:lang w:bidi="en-US"/>
        </w:rPr>
        <w:t>大中型水库移民后期扶持基金，移民每年可增加大中型水库农村移民人均纯收入600元，对于特困移民家庭，可在一定程度上改善其生活条件。</w:t>
      </w:r>
    </w:p>
    <w:p>
      <w:pPr>
        <w:pStyle w:val="43"/>
        <w:ind w:firstLine="560"/>
        <w:rPr>
          <w:lang w:bidi="en-US"/>
        </w:rPr>
      </w:pPr>
      <w:r>
        <w:rPr>
          <w:rFonts w:hint="eastAsia"/>
          <w:lang w:bidi="en-US"/>
        </w:rPr>
        <w:t>后扶基金的直接发放是对移民的后期补偿，体现了对移民群众为公益事业付出代价和做出牺牲的高度重视和认可，可使移民感受到政府的关怀，缓和社会矛盾，维护社会稳定。</w:t>
      </w:r>
    </w:p>
    <w:p>
      <w:pPr>
        <w:spacing w:before="156"/>
        <w:rPr>
          <w:rFonts w:ascii="Times New Roman" w:cs="Times New Roman"/>
        </w:rPr>
        <w:sectPr>
          <w:pgSz w:w="11906" w:h="16838"/>
          <w:pgMar w:top="1616" w:right="1418" w:bottom="1616" w:left="1418" w:header="907" w:footer="1304" w:gutter="0"/>
          <w:cols w:space="425" w:num="1"/>
          <w:docGrid w:type="lines" w:linePitch="312" w:charSpace="0"/>
        </w:sectPr>
      </w:pPr>
    </w:p>
    <w:p>
      <w:pPr>
        <w:pStyle w:val="2"/>
        <w:rPr>
          <w:rFonts w:hAnsi="Times New Roman" w:cs="Times New Roman"/>
        </w:rPr>
      </w:pPr>
      <w:bookmarkStart w:id="51" w:name="_Toc86914827"/>
      <w:r>
        <w:rPr>
          <w:rFonts w:hAnsi="Times New Roman" w:cs="Times New Roman"/>
        </w:rPr>
        <w:t>5</w:t>
      </w:r>
      <w:r>
        <w:rPr>
          <w:rFonts w:hint="eastAsia" w:hAnsi="Times New Roman" w:cs="Times New Roman"/>
        </w:rPr>
        <w:t>　美丽家园</w:t>
      </w:r>
      <w:r>
        <w:rPr>
          <w:rFonts w:hAnsi="Times New Roman" w:cs="Times New Roman"/>
        </w:rPr>
        <w:t>•</w:t>
      </w:r>
      <w:r>
        <w:rPr>
          <w:rFonts w:hint="eastAsia" w:hAnsi="Times New Roman" w:cs="Times New Roman"/>
        </w:rPr>
        <w:t>移民新村建设规划</w:t>
      </w:r>
      <w:bookmarkEnd w:id="51"/>
    </w:p>
    <w:p>
      <w:pPr>
        <w:pStyle w:val="43"/>
        <w:ind w:firstLine="560"/>
        <w:rPr>
          <w:lang w:bidi="en-US"/>
        </w:rPr>
      </w:pPr>
      <w:r>
        <w:rPr>
          <w:rFonts w:hint="eastAsia"/>
          <w:lang w:bidi="en-US"/>
        </w:rPr>
        <w:t>中共十九大首次提出乡村振兴战略，做出</w:t>
      </w:r>
      <w:r>
        <w:rPr>
          <w:lang w:bidi="en-US"/>
        </w:rPr>
        <w:t>“</w:t>
      </w:r>
      <w:r>
        <w:rPr>
          <w:rFonts w:hint="eastAsia"/>
          <w:lang w:bidi="en-US"/>
        </w:rPr>
        <w:t>产业兴旺、生态宜居、乡风文明、治理有效、生活富裕</w:t>
      </w:r>
      <w:r>
        <w:rPr>
          <w:lang w:bidi="en-US"/>
        </w:rPr>
        <w:t>”</w:t>
      </w:r>
      <w:r>
        <w:rPr>
          <w:rFonts w:hint="eastAsia"/>
          <w:lang w:bidi="en-US"/>
        </w:rPr>
        <w:t>的总体要求部署。随着乡村振兴升级为国家战略，农村现代化成为各地重要建设目标。元谋县移民村现状离美丽乡村、现代化乡村的要求存在一定距离，十四五期间须强化规划引领作用，全面提升村庄风貌，保障完善设施配套，加快建设移民安居乐业的新家园。</w:t>
      </w:r>
    </w:p>
    <w:p>
      <w:pPr>
        <w:pStyle w:val="43"/>
        <w:ind w:firstLine="560"/>
        <w:rPr>
          <w:lang w:bidi="en-US"/>
        </w:rPr>
      </w:pPr>
      <w:r>
        <w:rPr>
          <w:rFonts w:hint="eastAsia"/>
          <w:lang w:bidi="en-US"/>
        </w:rPr>
        <w:t>以实现全域旅游为片区发展背景要求，为农村现代化为建设目标，承接本规划及乡村振兴规划中的发展要求，对不同村庄类型，根据其现状发展特征以及未来发展方向，分类开展改造提升。按统筹规划、分步实施的原则，从基础设施建设、公共服务设施建设、人居环境整治以及社会治理完善四个方面展开美丽家园建设。</w:t>
      </w:r>
    </w:p>
    <w:p>
      <w:pPr>
        <w:pStyle w:val="3"/>
        <w:rPr>
          <w:rFonts w:hAnsi="Times New Roman" w:cs="Times New Roman"/>
          <w:szCs w:val="36"/>
        </w:rPr>
      </w:pPr>
      <w:bookmarkStart w:id="52" w:name="_Toc86914828"/>
      <w:r>
        <w:rPr>
          <w:rFonts w:hAnsi="Times New Roman" w:cs="Times New Roman"/>
          <w:szCs w:val="36"/>
        </w:rPr>
        <w:t>5.1</w:t>
      </w:r>
      <w:r>
        <w:rPr>
          <w:rFonts w:hint="eastAsia" w:hAnsi="Times New Roman" w:cs="Times New Roman"/>
          <w:szCs w:val="36"/>
        </w:rPr>
        <w:t>　现状及存在的问题</w:t>
      </w:r>
      <w:bookmarkEnd w:id="52"/>
    </w:p>
    <w:p>
      <w:pPr>
        <w:pStyle w:val="43"/>
        <w:ind w:firstLine="560"/>
        <w:rPr>
          <w:lang w:bidi="en-US"/>
        </w:rPr>
      </w:pPr>
      <w:r>
        <w:rPr>
          <w:rFonts w:hint="eastAsia"/>
          <w:lang w:bidi="en-US"/>
        </w:rPr>
        <w:t>“十三五”以来，元谋县大中型水库库区和移民安置区基础设施、基本公共服务设施和人居环境得到了较大改善，脱贫攻坚取得了全面胜利，移民实现了增收，确保了库区和移民安置区社会总体稳定。但由于移民发展起点较低，美丽乡村建设规划滞后，整合部门资金有限，整体投入不足，各区域发展不平衡，部分库区和移民安置区的基础设施、基本公共服务设施仍滞后，环境治理差、劳动者素质偏低、经济发展滞后现象依然存在。</w:t>
      </w:r>
    </w:p>
    <w:p>
      <w:pPr>
        <w:pStyle w:val="54"/>
        <w:ind w:firstLine="560"/>
      </w:pPr>
      <w:r>
        <w:rPr>
          <w:rFonts w:hint="eastAsia"/>
        </w:rPr>
        <w:t>（1）乌东德水电站集中安置点</w:t>
      </w:r>
    </w:p>
    <w:p>
      <w:pPr>
        <w:pStyle w:val="43"/>
        <w:ind w:firstLine="560"/>
        <w:rPr>
          <w:lang w:bidi="en-US"/>
        </w:rPr>
      </w:pPr>
      <w:r>
        <w:rPr>
          <w:rFonts w:hint="eastAsia"/>
          <w:lang w:bidi="en-US"/>
        </w:rPr>
        <w:t>移民安置点总体基础设施建设及公共服务设施配置较为完善，但由于移民安置区移民来源于原多个村组的移民，民族民俗较为多元化，已建文化活动场地仍不足以提供广大村民休闲、娱乐和交流；安置点内虽已建设公共环卫设施等，但垃圾乱丢乱倒现象还是严重，与推进移民村庄“七改三清”人居环境提升行动有一定距离，应加强移民村环卫设施建设、加强乡风文明建设，组织建设，对人居环境重点整治；集中安置点缺乏成规模的农产品集散交易场所，现乌东德移民为新迁入户，安置点或靠近城区中心、具有较好的物流区位，或靠近金沙江边，有丰富的山水资源及光热资源，对发展农业、旅游业等产业都具备良好的地理条件及潜力，目前安置点需建设成规模化的农贸交易市场，以及配套的农产品加工、仓储、运输等配套设施，</w:t>
      </w:r>
      <w:r>
        <w:rPr>
          <w:lang w:bidi="en-US"/>
        </w:rPr>
        <w:t>为移民和广大群众提供农产品交易场所</w:t>
      </w:r>
      <w:r>
        <w:rPr>
          <w:rFonts w:hint="eastAsia"/>
          <w:lang w:bidi="en-US"/>
        </w:rPr>
        <w:t>。</w:t>
      </w:r>
    </w:p>
    <w:p>
      <w:pPr>
        <w:pStyle w:val="54"/>
        <w:ind w:firstLine="560"/>
      </w:pPr>
      <w:r>
        <w:rPr>
          <w:rFonts w:hint="eastAsia"/>
        </w:rPr>
        <w:t>（</w:t>
      </w:r>
      <w:r>
        <w:t>2</w:t>
      </w:r>
      <w:r>
        <w:rPr>
          <w:rFonts w:hint="eastAsia"/>
        </w:rPr>
        <w:t>）老水库移民村</w:t>
      </w:r>
    </w:p>
    <w:p>
      <w:pPr>
        <w:pStyle w:val="43"/>
        <w:ind w:firstLine="560"/>
        <w:rPr>
          <w:lang w:bidi="en-US"/>
        </w:rPr>
      </w:pPr>
      <w:r>
        <w:rPr>
          <w:rFonts w:hint="eastAsia"/>
          <w:lang w:bidi="en-US"/>
        </w:rPr>
        <w:t>老水库移民村由于年代久远，受当时技术、思想观念等方面的影响，村庄未进行统一规划，现状住房基本为近年新建的砖混结构房屋，人畜混居，局部区域还有部分土木结构杂房，总体建筑布局较为混乱，存在民居风格不统一的问题。</w:t>
      </w:r>
    </w:p>
    <w:p>
      <w:pPr>
        <w:pStyle w:val="43"/>
        <w:ind w:firstLine="560"/>
        <w:rPr>
          <w:lang w:bidi="en-US"/>
        </w:rPr>
      </w:pPr>
      <w:r>
        <w:rPr>
          <w:rFonts w:hint="eastAsia"/>
          <w:lang w:bidi="en-US"/>
        </w:rPr>
        <w:t>基础设施及公共服务设施方面，现状移民村基础设施简陋，大部分移民村没有村庄标识、雨污分流排水系统；少部分移民村进村及村内道路没有硬化，饮水管网、电力设施、广电及通讯设施不完善。村庄内缺乏整体性的文化活动设施，如文化宣传栏、文化活动室、公厕、文化活动广场等基本公共服务设施。</w:t>
      </w:r>
    </w:p>
    <w:p>
      <w:pPr>
        <w:pStyle w:val="43"/>
        <w:ind w:firstLine="560"/>
        <w:rPr>
          <w:lang w:bidi="en-US"/>
        </w:rPr>
      </w:pPr>
      <w:r>
        <w:rPr>
          <w:rFonts w:hint="eastAsia"/>
          <w:lang w:bidi="en-US"/>
        </w:rPr>
        <w:t>人居环境整治方面，部分移民村没有太阳能路灯、环卫设施、景观设施，村内外环境景观设施建设基础条件较差，道路、沟渠及建筑物旁缺乏必要的绿化空间，部分村民存在乱丢乱扔现象，污水随意排放，动物粪便沿路对方，影响村庄整体环境质量。</w:t>
      </w:r>
    </w:p>
    <w:p>
      <w:pPr>
        <w:pStyle w:val="43"/>
        <w:ind w:firstLine="560"/>
        <w:rPr>
          <w:lang w:bidi="en-US"/>
        </w:rPr>
      </w:pPr>
      <w:r>
        <w:rPr>
          <w:rFonts w:hint="eastAsia"/>
          <w:lang w:bidi="en-US"/>
        </w:rPr>
        <w:t>社会治理方面，移民村基层党组织、村民自治组织、村务监督组织、群团组织和互助组织基本健全，村民自治和民主管理制度基本完善，但在日常生产生活中，应调动发挥移民群众的积极性和主动性，做好村庄公共设施、环境卫生管护工作，开展经常性培训教育，主动接受群众监督，做到乡风文明、平安和谐。</w:t>
      </w:r>
    </w:p>
    <w:p>
      <w:pPr>
        <w:pStyle w:val="3"/>
        <w:rPr>
          <w:rFonts w:hAnsi="Times New Roman" w:cs="Times New Roman"/>
          <w:szCs w:val="36"/>
        </w:rPr>
      </w:pPr>
      <w:bookmarkStart w:id="53" w:name="_Toc86914829"/>
      <w:r>
        <w:rPr>
          <w:rFonts w:hAnsi="Times New Roman" w:cs="Times New Roman"/>
          <w:szCs w:val="36"/>
        </w:rPr>
        <w:t>5.2</w:t>
      </w:r>
      <w:r>
        <w:rPr>
          <w:rFonts w:hint="eastAsia" w:hAnsi="Times New Roman" w:cs="Times New Roman"/>
          <w:szCs w:val="36"/>
        </w:rPr>
        <w:t>　相关规划对移民村的定位</w:t>
      </w:r>
      <w:bookmarkEnd w:id="53"/>
    </w:p>
    <w:p>
      <w:pPr>
        <w:pStyle w:val="43"/>
        <w:ind w:firstLine="560"/>
        <w:rPr>
          <w:lang w:bidi="en-US"/>
        </w:rPr>
      </w:pPr>
      <w:r>
        <w:rPr>
          <w:rFonts w:hint="eastAsia"/>
          <w:lang w:bidi="en-US"/>
        </w:rPr>
        <w:t>在总体规划思路中，结合现状分析及发展定位，针对不同特色的移民村提出差异化发展要求。每一类别移民村庄都有其独有的空间形态特征及发展潜力，从而也有着不同的功能定位及建设重点。</w:t>
      </w:r>
      <w:r>
        <w:rPr>
          <w:lang w:bidi="en-US"/>
        </w:rPr>
        <w:t>移民后期扶持美丽家园</w:t>
      </w:r>
      <w:r>
        <w:rPr>
          <w:rFonts w:hint="eastAsia" w:ascii="宋体" w:hAnsi="宋体" w:eastAsia="宋体"/>
          <w:lang w:bidi="en-US"/>
        </w:rPr>
        <w:t>•</w:t>
      </w:r>
      <w:r>
        <w:rPr>
          <w:lang w:bidi="en-US"/>
        </w:rPr>
        <w:t>移民新村建设主要落实的内容包括以下三大方面</w:t>
      </w:r>
      <w:r>
        <w:rPr>
          <w:rFonts w:hint="eastAsia"/>
          <w:lang w:bidi="en-US"/>
        </w:rPr>
        <w:t>：</w:t>
      </w:r>
    </w:p>
    <w:p>
      <w:pPr>
        <w:pStyle w:val="54"/>
        <w:ind w:firstLine="560"/>
      </w:pPr>
      <w:r>
        <w:rPr>
          <w:rFonts w:hint="eastAsia"/>
        </w:rPr>
        <w:t>（</w:t>
      </w:r>
      <w:r>
        <w:t>1）以引导旅游发展的标准进行风貌改造</w:t>
      </w:r>
    </w:p>
    <w:p>
      <w:pPr>
        <w:pStyle w:val="43"/>
        <w:ind w:firstLine="560"/>
        <w:rPr>
          <w:lang w:bidi="en-US"/>
        </w:rPr>
      </w:pPr>
      <w:r>
        <w:rPr>
          <w:rFonts w:hint="eastAsia"/>
          <w:lang w:bidi="en-US"/>
        </w:rPr>
        <w:t>为积极融入元谋县全域旅游发展建设，充分发挥元谋县丰富的自然山水、历史文化等资源禀赋，发展特色餐饮、民宿体验、休闲观光、田园采摘、文化娱乐、康养度假等休闲农业，通过加强移民村基础设施和公共服务设施配套及环境整治等内容，提升移民村风貌，打造一批民族特色乡村，带动元谋县库区乡村休闲旅游发展，从而带动周边农村的建设发展。</w:t>
      </w:r>
    </w:p>
    <w:p>
      <w:pPr>
        <w:pStyle w:val="54"/>
        <w:ind w:firstLine="560"/>
      </w:pPr>
      <w:r>
        <w:rPr>
          <w:rFonts w:hint="eastAsia"/>
        </w:rPr>
        <w:t>（</w:t>
      </w:r>
      <w:r>
        <w:t>2）构建</w:t>
      </w:r>
      <w:r>
        <w:rPr>
          <w:rFonts w:hint="eastAsia"/>
        </w:rPr>
        <w:t>完善</w:t>
      </w:r>
      <w:r>
        <w:t>良好的交通网络</w:t>
      </w:r>
    </w:p>
    <w:p>
      <w:pPr>
        <w:pStyle w:val="43"/>
        <w:ind w:firstLine="560"/>
        <w:rPr>
          <w:lang w:bidi="en-US"/>
        </w:rPr>
      </w:pPr>
      <w:r>
        <w:rPr>
          <w:lang w:bidi="en-US"/>
        </w:rPr>
        <w:t>精准分析、比较优势，科学定位村庄发展方向，在原有规模基础上有序推进改造提升，配套完善村庄基础设施和公共环境，提升集聚发展承载能力；大力提升农村人居环境，实现村容整洁、道路通达、环境卫生、适宜居住</w:t>
      </w:r>
      <w:r>
        <w:rPr>
          <w:rFonts w:hint="eastAsia"/>
          <w:lang w:bidi="en-US"/>
        </w:rPr>
        <w:t>。各村内修通自然村组的四级公路，解决山区移民出行难的困境。</w:t>
      </w:r>
    </w:p>
    <w:p>
      <w:pPr>
        <w:pStyle w:val="54"/>
        <w:ind w:firstLine="560"/>
      </w:pPr>
      <w:r>
        <w:rPr>
          <w:rFonts w:hint="eastAsia"/>
        </w:rPr>
        <w:t>（</w:t>
      </w:r>
      <w:r>
        <w:t>3）公共服务设施中补充旅游服务功能</w:t>
      </w:r>
    </w:p>
    <w:p>
      <w:pPr>
        <w:pStyle w:val="43"/>
        <w:ind w:firstLine="560"/>
        <w:rPr>
          <w:lang w:bidi="en-US"/>
        </w:rPr>
      </w:pPr>
      <w:r>
        <w:rPr>
          <w:rFonts w:hint="eastAsia"/>
          <w:lang w:bidi="en-US"/>
        </w:rPr>
        <w:t>选择区位优势良好的村庄，结合社区活动中心建筑，补齐旅游服务功能，形成片区乡村旅游服务中心站点。</w:t>
      </w:r>
    </w:p>
    <w:p>
      <w:pPr>
        <w:pStyle w:val="3"/>
        <w:rPr>
          <w:rFonts w:hAnsi="Times New Roman" w:cs="Times New Roman"/>
          <w:szCs w:val="36"/>
        </w:rPr>
      </w:pPr>
      <w:bookmarkStart w:id="54" w:name="_Toc86914830"/>
      <w:bookmarkStart w:id="55" w:name="_Toc36482461"/>
      <w:r>
        <w:rPr>
          <w:rFonts w:hAnsi="Times New Roman" w:cs="Times New Roman"/>
          <w:szCs w:val="36"/>
        </w:rPr>
        <w:t>5.3</w:t>
      </w:r>
      <w:r>
        <w:rPr>
          <w:rFonts w:hint="eastAsia" w:hAnsi="Times New Roman" w:cs="Times New Roman"/>
          <w:szCs w:val="36"/>
        </w:rPr>
        <w:t>　规划原则</w:t>
      </w:r>
      <w:bookmarkEnd w:id="54"/>
    </w:p>
    <w:p>
      <w:pPr>
        <w:pStyle w:val="54"/>
        <w:ind w:firstLine="560"/>
      </w:pPr>
      <w:r>
        <w:rPr>
          <w:rFonts w:hint="eastAsia"/>
        </w:rPr>
        <w:t>（</w:t>
      </w:r>
      <w:r>
        <w:t>1）因地制宜，统筹规划</w:t>
      </w:r>
    </w:p>
    <w:p>
      <w:pPr>
        <w:pStyle w:val="43"/>
        <w:ind w:firstLine="560"/>
        <w:rPr>
          <w:lang w:bidi="en-US"/>
        </w:rPr>
      </w:pPr>
      <w:r>
        <w:rPr>
          <w:rFonts w:hint="eastAsia"/>
          <w:lang w:bidi="en-US"/>
        </w:rPr>
        <w:t>结合当地美丽乡村建设、乡村振兴战略等规划，立足移民村资源优势、区位条件、发展现状、民族特色、文化脉络，科学确定美丽家园</w:t>
      </w:r>
      <w:r>
        <w:rPr>
          <w:lang w:bidi="en-US"/>
        </w:rPr>
        <w:t>.移民新村定位、发展方向和发展路径</w:t>
      </w:r>
      <w:r>
        <w:rPr>
          <w:rFonts w:hint="eastAsia"/>
          <w:lang w:bidi="en-US"/>
        </w:rPr>
        <w:t>。</w:t>
      </w:r>
    </w:p>
    <w:p>
      <w:pPr>
        <w:pStyle w:val="54"/>
        <w:ind w:firstLine="560"/>
      </w:pPr>
      <w:r>
        <w:rPr>
          <w:rFonts w:hint="eastAsia"/>
        </w:rPr>
        <w:t>（</w:t>
      </w:r>
      <w:r>
        <w:t>2）突出重点，注重实效</w:t>
      </w:r>
    </w:p>
    <w:p>
      <w:pPr>
        <w:pStyle w:val="43"/>
        <w:ind w:firstLine="560"/>
        <w:rPr>
          <w:lang w:bidi="en-US"/>
        </w:rPr>
      </w:pPr>
      <w:r>
        <w:rPr>
          <w:rFonts w:hint="eastAsia"/>
          <w:lang w:bidi="en-US"/>
        </w:rPr>
        <w:t>改善环境与促进发展相结合，坚持问题导向、分类指导、一村一策、整村推进，切实改善移民人居环境，提高生活水平。</w:t>
      </w:r>
    </w:p>
    <w:p>
      <w:pPr>
        <w:pStyle w:val="54"/>
        <w:ind w:firstLine="560"/>
      </w:pPr>
      <w:r>
        <w:rPr>
          <w:rFonts w:hint="eastAsia"/>
        </w:rPr>
        <w:t>（</w:t>
      </w:r>
      <w:r>
        <w:t>3）移民主体，整合投入</w:t>
      </w:r>
    </w:p>
    <w:p>
      <w:pPr>
        <w:pStyle w:val="43"/>
        <w:ind w:firstLine="560"/>
        <w:rPr>
          <w:lang w:bidi="en-US"/>
        </w:rPr>
      </w:pPr>
      <w:r>
        <w:rPr>
          <w:rFonts w:hint="eastAsia"/>
          <w:lang w:bidi="en-US"/>
        </w:rPr>
        <w:t>坚持以人民为中心的原则，充分征求移民群众意见，积极在当地美丽乡村建设中寻找切入点，加强与其他涉农项目资金的整合。</w:t>
      </w:r>
    </w:p>
    <w:p>
      <w:pPr>
        <w:pStyle w:val="54"/>
        <w:ind w:firstLine="560"/>
      </w:pPr>
      <w:r>
        <w:rPr>
          <w:rFonts w:hint="eastAsia"/>
        </w:rPr>
        <w:t>（</w:t>
      </w:r>
      <w:r>
        <w:t>4）绿色发展，保持特色</w:t>
      </w:r>
    </w:p>
    <w:p>
      <w:pPr>
        <w:pStyle w:val="43"/>
        <w:ind w:firstLine="560"/>
        <w:rPr>
          <w:lang w:bidi="en-US"/>
        </w:rPr>
      </w:pPr>
      <w:r>
        <w:rPr>
          <w:rFonts w:hint="eastAsia"/>
          <w:lang w:bidi="en-US"/>
        </w:rPr>
        <w:t>注重移民村落整体规划，严守生态红线，坚持绿色发展，保护乡村特色、历史文化和自然景观。</w:t>
      </w:r>
    </w:p>
    <w:p>
      <w:pPr>
        <w:pStyle w:val="3"/>
        <w:rPr>
          <w:rFonts w:hAnsi="Times New Roman" w:cs="Times New Roman"/>
          <w:szCs w:val="36"/>
        </w:rPr>
      </w:pPr>
      <w:bookmarkStart w:id="56" w:name="_Toc86914831"/>
      <w:r>
        <w:rPr>
          <w:rFonts w:hAnsi="Times New Roman" w:cs="Times New Roman"/>
          <w:szCs w:val="36"/>
        </w:rPr>
        <w:t>5.4</w:t>
      </w:r>
      <w:r>
        <w:rPr>
          <w:rFonts w:hint="eastAsia" w:hAnsi="Times New Roman" w:cs="Times New Roman"/>
          <w:szCs w:val="36"/>
        </w:rPr>
        <w:t>　扶持对象</w:t>
      </w:r>
      <w:bookmarkEnd w:id="56"/>
    </w:p>
    <w:p>
      <w:pPr>
        <w:pStyle w:val="43"/>
        <w:ind w:firstLine="560"/>
        <w:rPr>
          <w:lang w:bidi="en-US"/>
        </w:rPr>
      </w:pPr>
      <w:r>
        <w:rPr>
          <w:rFonts w:hint="eastAsia"/>
          <w:lang w:bidi="en-US"/>
        </w:rPr>
        <w:t>元谋县“十四五”期间美丽家园·移民新村建设规划对甘塘安置点（元马镇江州村），瓦渣箐安置点（元马镇金龙村），江边集镇安置点（江边乡龙街村、大树村），黄瓜园镇牛街村，老城乡老城村、库南村等7个村开展，共惠及移民3462户11884人。</w:t>
      </w:r>
    </w:p>
    <w:p>
      <w:pPr>
        <w:pStyle w:val="3"/>
        <w:rPr>
          <w:rFonts w:hAnsi="Times New Roman" w:cs="Times New Roman"/>
          <w:szCs w:val="36"/>
        </w:rPr>
      </w:pPr>
      <w:bookmarkStart w:id="57" w:name="_Toc86914832"/>
      <w:r>
        <w:rPr>
          <w:rFonts w:hAnsi="Times New Roman" w:cs="Times New Roman"/>
          <w:szCs w:val="36"/>
        </w:rPr>
        <w:t>5.5</w:t>
      </w:r>
      <w:r>
        <w:rPr>
          <w:rFonts w:hint="eastAsia" w:hAnsi="Times New Roman" w:cs="Times New Roman"/>
          <w:szCs w:val="36"/>
        </w:rPr>
        <w:t>　扶持方向及内容</w:t>
      </w:r>
      <w:bookmarkEnd w:id="55"/>
      <w:bookmarkEnd w:id="57"/>
    </w:p>
    <w:p>
      <w:pPr>
        <w:pStyle w:val="43"/>
        <w:ind w:firstLine="560"/>
        <w:rPr>
          <w:lang w:bidi="en-US"/>
        </w:rPr>
      </w:pPr>
      <w:r>
        <w:rPr>
          <w:rFonts w:hint="eastAsia"/>
          <w:lang w:bidi="en-US"/>
        </w:rPr>
        <w:t>根据规划原则，持续推进全县移民村美丽家园建设。移民村建设应与其所属分类相呼应，依据不同的分类方式，采用不同的指引政策。由于功能不同，移民村美丽家园建设方式也应有所区别。</w:t>
      </w:r>
    </w:p>
    <w:p>
      <w:pPr>
        <w:pStyle w:val="43"/>
        <w:ind w:firstLine="560"/>
        <w:rPr>
          <w:lang w:bidi="en-US"/>
        </w:rPr>
      </w:pPr>
      <w:r>
        <w:rPr>
          <w:rFonts w:hint="eastAsia"/>
          <w:lang w:bidi="en-US"/>
        </w:rPr>
        <w:t>规划提出有针对性的发展引导策略，引导乡村发展走向个性化和特色化；以农民生产生活圈服务和公共设施共享共建为导向，分级分类设置中心村；完善基础设施建设，提升基本公共服务水平，推进环境综合整治，补齐人居环境突出短板，增强移民幸福感和获得感。</w:t>
      </w:r>
    </w:p>
    <w:p>
      <w:pPr>
        <w:pStyle w:val="43"/>
        <w:ind w:firstLine="560"/>
        <w:rPr>
          <w:lang w:bidi="en-US"/>
        </w:rPr>
      </w:pPr>
      <w:r>
        <w:rPr>
          <w:rFonts w:hint="eastAsia"/>
          <w:lang w:bidi="en-US"/>
        </w:rPr>
        <w:t>结合元谋县移民村村庄建设现状，美丽家园</w:t>
      </w:r>
      <w:r>
        <w:rPr>
          <w:rFonts w:hint="eastAsia" w:eastAsia="宋体"/>
          <w:lang w:bidi="en-US"/>
        </w:rPr>
        <w:t>•</w:t>
      </w:r>
      <w:r>
        <w:rPr>
          <w:rFonts w:hint="eastAsia"/>
          <w:lang w:bidi="en-US"/>
        </w:rPr>
        <w:t>移民新村建设按照分级分类，规划从基础设施、公共服务设施配套、人居环境整治和社会治理四个方面进行建设。</w:t>
      </w:r>
    </w:p>
    <w:p>
      <w:pPr>
        <w:pStyle w:val="54"/>
        <w:ind w:firstLine="560"/>
      </w:pPr>
      <w:r>
        <w:rPr>
          <w:rFonts w:hint="eastAsia"/>
        </w:rPr>
        <w:t>1）</w:t>
      </w:r>
      <w:r>
        <w:t>基础设施建设</w:t>
      </w:r>
    </w:p>
    <w:p>
      <w:pPr>
        <w:pStyle w:val="43"/>
        <w:ind w:firstLine="560"/>
        <w:rPr>
          <w:lang w:bidi="en-US"/>
        </w:rPr>
      </w:pPr>
      <w:r>
        <w:rPr>
          <w:rFonts w:eastAsia="宋体"/>
          <w:lang w:bidi="en-US"/>
        </w:rPr>
        <w:t>（1）</w:t>
      </w:r>
      <w:r>
        <w:rPr>
          <w:lang w:bidi="en-US"/>
        </w:rPr>
        <w:t>道路交通</w:t>
      </w:r>
    </w:p>
    <w:p>
      <w:pPr>
        <w:pStyle w:val="43"/>
        <w:ind w:firstLine="560"/>
        <w:rPr>
          <w:lang w:bidi="en-US"/>
        </w:rPr>
      </w:pPr>
      <w:r>
        <w:rPr>
          <w:lang w:bidi="en-US"/>
        </w:rPr>
        <w:t>打造移民集中安置点</w:t>
      </w:r>
      <w:r>
        <w:rPr>
          <w:rFonts w:hint="eastAsia"/>
          <w:lang w:bidi="en-US"/>
        </w:rPr>
        <w:t>内部</w:t>
      </w:r>
      <w:r>
        <w:rPr>
          <w:lang w:bidi="en-US"/>
        </w:rPr>
        <w:t>道路及旅游特色村庄景观大道，完善各村组与村内主路网进行连接</w:t>
      </w:r>
      <w:r>
        <w:rPr>
          <w:rFonts w:hint="eastAsia"/>
          <w:lang w:bidi="en-US"/>
        </w:rPr>
        <w:t>、</w:t>
      </w:r>
      <w:r>
        <w:rPr>
          <w:lang w:bidi="en-US"/>
        </w:rPr>
        <w:t>黑化，对需要提档升级的乡村道路进行拓宽硬化。</w:t>
      </w:r>
    </w:p>
    <w:p>
      <w:pPr>
        <w:pStyle w:val="43"/>
        <w:ind w:firstLine="560"/>
        <w:rPr>
          <w:lang w:bidi="en-US"/>
        </w:rPr>
      </w:pPr>
      <w:r>
        <w:rPr>
          <w:rFonts w:eastAsia="宋体"/>
          <w:lang w:bidi="en-US"/>
        </w:rPr>
        <w:t>（2）</w:t>
      </w:r>
      <w:r>
        <w:rPr>
          <w:lang w:bidi="en-US"/>
        </w:rPr>
        <w:t>饮水安全</w:t>
      </w:r>
    </w:p>
    <w:p>
      <w:pPr>
        <w:pStyle w:val="43"/>
        <w:ind w:firstLine="560"/>
        <w:rPr>
          <w:lang w:bidi="en-US"/>
        </w:rPr>
      </w:pPr>
      <w:r>
        <w:rPr>
          <w:lang w:bidi="en-US"/>
        </w:rPr>
        <w:t>部分自然村组缺少统一供水设施，规划实现集中管网设施的全覆盖。</w:t>
      </w:r>
    </w:p>
    <w:p>
      <w:pPr>
        <w:pStyle w:val="43"/>
        <w:ind w:firstLine="560"/>
        <w:rPr>
          <w:lang w:bidi="en-US"/>
        </w:rPr>
      </w:pPr>
      <w:r>
        <w:rPr>
          <w:rFonts w:eastAsia="宋体"/>
          <w:lang w:bidi="en-US"/>
        </w:rPr>
        <w:t>（</w:t>
      </w:r>
      <w:r>
        <w:rPr>
          <w:rFonts w:hint="eastAsia" w:eastAsia="宋体"/>
          <w:lang w:bidi="en-US"/>
        </w:rPr>
        <w:t>3</w:t>
      </w:r>
      <w:r>
        <w:rPr>
          <w:rFonts w:eastAsia="宋体"/>
          <w:lang w:bidi="en-US"/>
        </w:rPr>
        <w:t>）</w:t>
      </w:r>
      <w:r>
        <w:rPr>
          <w:lang w:bidi="en-US"/>
        </w:rPr>
        <w:t>环境整治</w:t>
      </w:r>
    </w:p>
    <w:p>
      <w:pPr>
        <w:pStyle w:val="43"/>
        <w:ind w:firstLine="560"/>
        <w:rPr>
          <w:lang w:bidi="en-US"/>
        </w:rPr>
      </w:pPr>
      <w:r>
        <w:rPr>
          <w:lang w:bidi="en-US"/>
        </w:rPr>
        <w:t>对村庄公共活动空间进行打造，重点对移民集中安置点以及部分重点村自然村组进行环境卫生整治。</w:t>
      </w:r>
    </w:p>
    <w:p>
      <w:pPr>
        <w:pStyle w:val="43"/>
        <w:ind w:firstLine="560"/>
        <w:rPr>
          <w:lang w:bidi="en-US"/>
        </w:rPr>
      </w:pPr>
      <w:r>
        <w:rPr>
          <w:lang w:bidi="en-US"/>
        </w:rPr>
        <w:t>现部分移民村存在路面铺装风格较杂、环境卫生不到位、乱摆乱放、公共卫生条件差等问题，主要通过增设垃圾</w:t>
      </w:r>
      <w:r>
        <w:rPr>
          <w:rFonts w:hint="eastAsia"/>
          <w:lang w:bidi="en-US"/>
        </w:rPr>
        <w:t>收集箱、清运车等环卫设施</w:t>
      </w:r>
      <w:r>
        <w:rPr>
          <w:lang w:bidi="en-US"/>
        </w:rPr>
        <w:t>，推行垃圾“分类分拣、源头追溯、定点投放”，杂物堆放有序。</w:t>
      </w:r>
    </w:p>
    <w:p>
      <w:pPr>
        <w:pStyle w:val="54"/>
        <w:ind w:firstLine="560"/>
      </w:pPr>
      <w:r>
        <w:t>2</w:t>
      </w:r>
      <w:r>
        <w:rPr>
          <w:rFonts w:hint="eastAsia"/>
        </w:rPr>
        <w:t>）</w:t>
      </w:r>
      <w:r>
        <w:t>公共服务设施</w:t>
      </w:r>
    </w:p>
    <w:p>
      <w:pPr>
        <w:pStyle w:val="43"/>
        <w:ind w:firstLine="560"/>
        <w:rPr>
          <w:lang w:bidi="en-US"/>
        </w:rPr>
      </w:pPr>
      <w:r>
        <w:rPr>
          <w:rFonts w:hint="eastAsia"/>
          <w:lang w:bidi="en-US"/>
        </w:rPr>
        <w:t>（</w:t>
      </w:r>
      <w:r>
        <w:rPr>
          <w:lang w:bidi="en-US"/>
        </w:rPr>
        <w:t>1）社区公共服务中心</w:t>
      </w:r>
    </w:p>
    <w:p>
      <w:pPr>
        <w:pStyle w:val="43"/>
        <w:ind w:firstLine="560"/>
        <w:rPr>
          <w:lang w:bidi="en-US"/>
        </w:rPr>
      </w:pPr>
      <w:r>
        <w:rPr>
          <w:rFonts w:hint="eastAsia"/>
          <w:lang w:bidi="en-US"/>
        </w:rPr>
        <w:t>对缺少服务设施的村庄，扩建或新建移民村社区公共服务中心，在该建筑内设置党员群众服务中心、图书室、文化室、安幼养老中心等服务设施，满足移民村基本公共服务功能需求。对于未来可承担片区旅游服务中心功能的村庄，补充补齐乡村旅游服务功能。</w:t>
      </w:r>
    </w:p>
    <w:p>
      <w:pPr>
        <w:pStyle w:val="43"/>
        <w:ind w:firstLine="560"/>
        <w:rPr>
          <w:lang w:bidi="en-US"/>
        </w:rPr>
      </w:pPr>
      <w:r>
        <w:rPr>
          <w:rFonts w:hint="eastAsia"/>
          <w:lang w:bidi="en-US"/>
        </w:rPr>
        <w:t>（</w:t>
      </w:r>
      <w:r>
        <w:rPr>
          <w:lang w:bidi="en-US"/>
        </w:rPr>
        <w:t>2）</w:t>
      </w:r>
      <w:r>
        <w:rPr>
          <w:rFonts w:hint="eastAsia"/>
          <w:lang w:bidi="en-US"/>
        </w:rPr>
        <w:t>休闲</w:t>
      </w:r>
      <w:r>
        <w:rPr>
          <w:lang w:bidi="en-US"/>
        </w:rPr>
        <w:t>广场</w:t>
      </w:r>
    </w:p>
    <w:p>
      <w:pPr>
        <w:pStyle w:val="43"/>
        <w:ind w:firstLine="560"/>
        <w:rPr>
          <w:lang w:bidi="en-US"/>
        </w:rPr>
      </w:pPr>
      <w:r>
        <w:rPr>
          <w:rFonts w:hint="eastAsia"/>
          <w:lang w:bidi="en-US"/>
        </w:rPr>
        <w:t>对缺乏公共活动设施的村庄，改建或新建休闲文化广场建设，以提供体育设施、活动空间，并满足防灾救灾场所功能需求。</w:t>
      </w:r>
    </w:p>
    <w:p>
      <w:pPr>
        <w:pStyle w:val="54"/>
        <w:ind w:firstLine="560"/>
      </w:pPr>
      <w:r>
        <w:t>3</w:t>
      </w:r>
      <w:r>
        <w:rPr>
          <w:rFonts w:hint="eastAsia"/>
        </w:rPr>
        <w:t>）</w:t>
      </w:r>
      <w:r>
        <w:t>人居环境整治</w:t>
      </w:r>
    </w:p>
    <w:p>
      <w:pPr>
        <w:pStyle w:val="43"/>
        <w:ind w:firstLine="560"/>
        <w:rPr>
          <w:lang w:bidi="en-US"/>
        </w:rPr>
      </w:pPr>
      <w:r>
        <w:rPr>
          <w:rFonts w:hint="eastAsia"/>
          <w:lang w:bidi="en-US"/>
        </w:rPr>
        <w:t>（</w:t>
      </w:r>
      <w:r>
        <w:rPr>
          <w:lang w:bidi="en-US"/>
        </w:rPr>
        <w:t>1）村容村貌提升工程</w:t>
      </w:r>
    </w:p>
    <w:p>
      <w:pPr>
        <w:pStyle w:val="43"/>
        <w:ind w:firstLine="560"/>
        <w:rPr>
          <w:lang w:bidi="en-US"/>
        </w:rPr>
      </w:pPr>
      <w:r>
        <w:rPr>
          <w:rFonts w:hint="eastAsia"/>
          <w:lang w:bidi="en-US"/>
        </w:rPr>
        <w:t>包括房屋整治工程及村庄公共环境提升工程。</w:t>
      </w:r>
    </w:p>
    <w:p>
      <w:pPr>
        <w:pStyle w:val="43"/>
        <w:ind w:firstLine="560"/>
        <w:rPr>
          <w:lang w:bidi="en-US"/>
        </w:rPr>
      </w:pPr>
      <w:r>
        <w:rPr>
          <w:rFonts w:hint="eastAsia"/>
          <w:lang w:bidi="en-US"/>
        </w:rPr>
        <w:t>按照乡村振兴和美好移民村建设等规划，统筹推进，分步实施。梳理移民房屋现状，结合乡村旅游规划，分级分类对房屋建筑风格、建筑形式、建筑色彩等进行整治。</w:t>
      </w:r>
    </w:p>
    <w:p>
      <w:pPr>
        <w:pStyle w:val="43"/>
        <w:ind w:firstLine="560"/>
        <w:rPr>
          <w:lang w:bidi="en-US"/>
        </w:rPr>
      </w:pPr>
      <w:r>
        <w:rPr>
          <w:rFonts w:hint="eastAsia"/>
          <w:lang w:bidi="en-US"/>
        </w:rPr>
        <w:t>对区位条件、旅游资源好的部分村，有选择性地进行村庄公共环境的整体提升，进行村庄美化亮化、硬化及绿化行动，为未来进行民宿群、旅游文化村建设打好环境基础。</w:t>
      </w:r>
    </w:p>
    <w:p>
      <w:pPr>
        <w:pStyle w:val="43"/>
        <w:ind w:firstLine="560"/>
        <w:rPr>
          <w:lang w:bidi="en-US"/>
        </w:rPr>
      </w:pPr>
      <w:r>
        <w:rPr>
          <w:rFonts w:hint="eastAsia"/>
          <w:lang w:bidi="en-US"/>
        </w:rPr>
        <w:t>（</w:t>
      </w:r>
      <w:r>
        <w:rPr>
          <w:lang w:bidi="en-US"/>
        </w:rPr>
        <w:t>2）污水处理</w:t>
      </w:r>
    </w:p>
    <w:p>
      <w:pPr>
        <w:pStyle w:val="43"/>
        <w:ind w:firstLine="560"/>
        <w:rPr>
          <w:lang w:bidi="en-US"/>
        </w:rPr>
      </w:pPr>
      <w:r>
        <w:rPr>
          <w:rFonts w:hint="eastAsia"/>
          <w:lang w:bidi="en-US"/>
        </w:rPr>
        <w:t>逐步推进移民村生活污水处理工程，积极推进元谋县移民村生活污水面源治理，加快推进城镇污水管网和服务向周边村延伸覆盖，加强突破污水收集管网瓶颈，积极探索农村污水、黑臭水体处置机制，保证水环境卫生、防止水质污染。</w:t>
      </w:r>
    </w:p>
    <w:p>
      <w:pPr>
        <w:pStyle w:val="54"/>
        <w:ind w:firstLine="560"/>
      </w:pPr>
      <w:r>
        <w:t>4</w:t>
      </w:r>
      <w:r>
        <w:rPr>
          <w:rFonts w:hint="eastAsia"/>
        </w:rPr>
        <w:t>）</w:t>
      </w:r>
      <w:r>
        <w:t>社会治理</w:t>
      </w:r>
    </w:p>
    <w:p>
      <w:pPr>
        <w:pStyle w:val="43"/>
        <w:ind w:firstLine="560"/>
        <w:rPr>
          <w:lang w:bidi="en-US"/>
        </w:rPr>
      </w:pPr>
      <w:r>
        <w:rPr>
          <w:rFonts w:hint="eastAsia"/>
          <w:lang w:bidi="en-US"/>
        </w:rPr>
        <w:t>（</w:t>
      </w:r>
      <w:r>
        <w:rPr>
          <w:lang w:bidi="en-US"/>
        </w:rPr>
        <w:t>1）完善党组织领导</w:t>
      </w:r>
    </w:p>
    <w:p>
      <w:pPr>
        <w:pStyle w:val="43"/>
        <w:ind w:firstLine="560"/>
        <w:rPr>
          <w:lang w:bidi="en-US"/>
        </w:rPr>
      </w:pPr>
      <w:r>
        <w:rPr>
          <w:rFonts w:hint="eastAsia"/>
          <w:lang w:bidi="en-US"/>
        </w:rPr>
        <w:t>补充完善移民村党组织建设，建立以基层党组织为领导、村民自治组织和村务监督组织为基础、集体经济组织和农民合作组织为纽带、其他经济社会组织为补充的村级组织体系。</w:t>
      </w:r>
    </w:p>
    <w:p>
      <w:pPr>
        <w:pStyle w:val="43"/>
        <w:ind w:firstLine="560"/>
        <w:rPr>
          <w:lang w:bidi="en-US"/>
        </w:rPr>
      </w:pPr>
      <w:r>
        <w:rPr>
          <w:rFonts w:hint="eastAsia"/>
          <w:lang w:bidi="en-US"/>
        </w:rPr>
        <w:t>（</w:t>
      </w:r>
      <w:r>
        <w:rPr>
          <w:lang w:bidi="en-US"/>
        </w:rPr>
        <w:t>2）优化治理体系</w:t>
      </w:r>
    </w:p>
    <w:p>
      <w:pPr>
        <w:pStyle w:val="43"/>
        <w:ind w:firstLine="560"/>
        <w:rPr>
          <w:lang w:bidi="en-US"/>
        </w:rPr>
      </w:pPr>
      <w:r>
        <w:rPr>
          <w:rFonts w:hint="eastAsia"/>
          <w:lang w:bidi="en-US"/>
        </w:rPr>
        <w:t>坚持自治为基，以自治增活力，进一步加强和深化移民村社会治理创新工作，建立健全“三会”等民主管理组织和制度，推进民主选举、民主协商、民主决策、民主管理、民主监督实践；坚持法治为本，以法治强保障，加强移民村法治建设，提高依法治村水平；坚持德治为先，以德治扬正气，着力提升移民村德治水平，建设充满活力、和谐有序的善治移民村。</w:t>
      </w:r>
    </w:p>
    <w:p>
      <w:pPr>
        <w:pStyle w:val="43"/>
        <w:ind w:firstLine="560"/>
        <w:rPr>
          <w:lang w:bidi="en-US"/>
        </w:rPr>
      </w:pPr>
      <w:r>
        <w:rPr>
          <w:rFonts w:hint="eastAsia"/>
          <w:lang w:bidi="en-US"/>
        </w:rPr>
        <w:t>（</w:t>
      </w:r>
      <w:r>
        <w:rPr>
          <w:lang w:bidi="en-US"/>
        </w:rPr>
        <w:t>3）</w:t>
      </w:r>
      <w:r>
        <w:rPr>
          <w:rFonts w:hint="eastAsia"/>
          <w:lang w:bidi="en-US"/>
        </w:rPr>
        <w:t>乡风</w:t>
      </w:r>
      <w:r>
        <w:rPr>
          <w:lang w:bidi="en-US"/>
        </w:rPr>
        <w:t>文明建设</w:t>
      </w:r>
    </w:p>
    <w:p>
      <w:pPr>
        <w:pStyle w:val="43"/>
        <w:ind w:firstLine="560"/>
        <w:rPr>
          <w:lang w:bidi="en-US"/>
        </w:rPr>
      </w:pPr>
      <w:r>
        <w:rPr>
          <w:rFonts w:hint="eastAsia"/>
          <w:lang w:bidi="en-US"/>
        </w:rPr>
        <w:t>建设村规民约牌，健全完善奖惩机制，促进村规民约的遵守和落实，促进乡村文明建设，营造安定和谐的社会氛围。</w:t>
      </w:r>
    </w:p>
    <w:p>
      <w:pPr>
        <w:pStyle w:val="43"/>
        <w:ind w:firstLine="560"/>
        <w:rPr>
          <w:lang w:bidi="en-US"/>
        </w:rPr>
      </w:pPr>
      <w:r>
        <w:rPr>
          <w:rFonts w:hint="eastAsia"/>
          <w:lang w:bidi="en-US"/>
        </w:rPr>
        <w:t>对尚需完善乡风文明建设的集中安置点涉及移民村，结合社区公共服务中心及文化广场，建设村规民约牌、乡风文明宣传栏，运用油画、农民画、漫画、牌匾楹联、俗语格言等形式，广泛刊播以社会主义核心价值观、</w:t>
      </w:r>
      <w:r>
        <w:rPr>
          <w:lang w:bidi="en-US"/>
        </w:rPr>
        <w:t>中华优秀传统文化、移风易俗</w:t>
      </w:r>
      <w:r>
        <w:rPr>
          <w:rFonts w:hint="eastAsia"/>
          <w:lang w:bidi="en-US"/>
        </w:rPr>
        <w:t>等为主要内容的手绘文化墙和公益广告。村规民约项目优先作为近期项目展开建设。</w:t>
      </w:r>
    </w:p>
    <w:p>
      <w:pPr>
        <w:pStyle w:val="3"/>
        <w:rPr>
          <w:rFonts w:hAnsi="Times New Roman" w:cs="Times New Roman"/>
          <w:szCs w:val="36"/>
        </w:rPr>
      </w:pPr>
      <w:bookmarkStart w:id="58" w:name="_Toc86914833"/>
      <w:r>
        <w:rPr>
          <w:rFonts w:hAnsi="Times New Roman" w:cs="Times New Roman"/>
          <w:szCs w:val="36"/>
        </w:rPr>
        <w:t>5.6</w:t>
      </w:r>
      <w:r>
        <w:rPr>
          <w:rFonts w:hint="eastAsia" w:hAnsi="Times New Roman" w:cs="Times New Roman"/>
          <w:szCs w:val="36"/>
        </w:rPr>
        <w:t>　重大项目</w:t>
      </w:r>
      <w:bookmarkEnd w:id="58"/>
    </w:p>
    <w:p>
      <w:pPr>
        <w:pStyle w:val="43"/>
        <w:ind w:firstLine="560"/>
        <w:rPr>
          <w:lang w:bidi="en-US"/>
        </w:rPr>
      </w:pPr>
      <w:r>
        <w:rPr>
          <w:rFonts w:hint="eastAsia"/>
          <w:lang w:bidi="en-US"/>
        </w:rPr>
        <w:t>元谋县大中型水库移民“十四五”美丽家园</w:t>
      </w:r>
      <w:r>
        <w:rPr>
          <w:rFonts w:hint="eastAsia" w:ascii="宋体" w:hAnsi="宋体" w:eastAsia="宋体"/>
          <w:lang w:bidi="en-US"/>
        </w:rPr>
        <w:t>•</w:t>
      </w:r>
      <w:r>
        <w:rPr>
          <w:rFonts w:hint="eastAsia"/>
          <w:lang w:bidi="en-US"/>
        </w:rPr>
        <w:t>移民新村建设重大项目主要包含基础设施、公共服务设施配套项目、环境整治项目，主要建设项目为结合乡村旅游产业发展，通过安全饮水、公共服务设施配套建设、村庄环境提升等项目，提升完善移民村居住环境，吸引游客。规划美丽家园建设项目3</w:t>
      </w:r>
      <w:r>
        <w:rPr>
          <w:lang w:bidi="en-US"/>
        </w:rPr>
        <w:t>个，总投资</w:t>
      </w:r>
      <w:r>
        <w:rPr>
          <w:rFonts w:hint="eastAsia"/>
          <w:lang w:bidi="en-US"/>
        </w:rPr>
        <w:t>8997.50</w:t>
      </w:r>
      <w:r>
        <w:rPr>
          <w:lang w:bidi="en-US"/>
        </w:rPr>
        <w:t>万元</w:t>
      </w:r>
      <w:r>
        <w:rPr>
          <w:rFonts w:hint="eastAsia"/>
          <w:lang w:bidi="en-US"/>
        </w:rPr>
        <w:t>。项目惠及人口15822人，其中移民人口10580人。</w:t>
      </w:r>
    </w:p>
    <w:p>
      <w:pPr>
        <w:pStyle w:val="54"/>
        <w:ind w:firstLine="560"/>
      </w:pPr>
      <w:r>
        <w:rPr>
          <w:rFonts w:hint="eastAsia"/>
        </w:rPr>
        <w:t>1）元马镇甘塘安置点美丽家园建设项目</w:t>
      </w:r>
    </w:p>
    <w:p>
      <w:pPr>
        <w:pStyle w:val="43"/>
        <w:ind w:firstLine="560"/>
        <w:rPr>
          <w:lang w:bidi="en-US"/>
        </w:rPr>
      </w:pPr>
      <w:r>
        <w:rPr>
          <w:rFonts w:hint="eastAsia"/>
          <w:lang w:bidi="en-US"/>
        </w:rPr>
        <w:t>（</w:t>
      </w:r>
      <w:r>
        <w:rPr>
          <w:lang w:bidi="en-US"/>
        </w:rPr>
        <w:t>1</w:t>
      </w:r>
      <w:r>
        <w:rPr>
          <w:rFonts w:hint="eastAsia"/>
          <w:lang w:bidi="en-US"/>
        </w:rPr>
        <w:t>）项目背景</w:t>
      </w:r>
    </w:p>
    <w:p>
      <w:pPr>
        <w:pStyle w:val="43"/>
        <w:ind w:firstLine="560"/>
      </w:pPr>
      <w:r>
        <w:rPr>
          <w:rFonts w:hint="eastAsia"/>
        </w:rPr>
        <w:t>甘塘居民点位于元谋县城南侧</w:t>
      </w:r>
      <w:r>
        <w:t>3</w:t>
      </w:r>
      <w:r>
        <w:rPr>
          <w:rFonts w:hint="eastAsia"/>
        </w:rPr>
        <w:t>～</w:t>
      </w:r>
      <w:r>
        <w:t>5km</w:t>
      </w:r>
      <w:r>
        <w:rPr>
          <w:rFonts w:hint="eastAsia"/>
        </w:rPr>
        <w:t>处老城乡甘塘村一带。居民点人口规模2473人，用地总面积24.65hm</w:t>
      </w:r>
      <w:r>
        <w:rPr>
          <w:rFonts w:hint="eastAsia"/>
          <w:vertAlign w:val="superscript"/>
        </w:rPr>
        <w:t>2</w:t>
      </w:r>
      <w:r>
        <w:rPr>
          <w:rFonts w:hint="eastAsia"/>
        </w:rPr>
        <w:t>。居民点已于2020年基本建成。</w:t>
      </w:r>
    </w:p>
    <w:p>
      <w:pPr>
        <w:pStyle w:val="43"/>
        <w:ind w:firstLine="560"/>
      </w:pPr>
      <w:r>
        <w:rPr>
          <w:rFonts w:hint="eastAsia"/>
        </w:rPr>
        <w:t>安置点外已建成6.17km双车道连接市政道路及</w:t>
      </w:r>
      <w:r>
        <w:t>G108</w:t>
      </w:r>
      <w:r>
        <w:rPr>
          <w:rFonts w:hint="eastAsia"/>
        </w:rPr>
        <w:t>，点内道路采用干路、支路、巷路三级路网系统，道路总长约1.08km。</w:t>
      </w:r>
    </w:p>
    <w:p>
      <w:pPr>
        <w:pStyle w:val="43"/>
        <w:ind w:firstLine="560"/>
      </w:pPr>
      <w:r>
        <w:rPr>
          <w:rFonts w:hint="eastAsia"/>
        </w:rPr>
        <w:t>甘塘安置点居民生活用水为元谋县自来水厂，居民点内已建成自来水供水系统，自来水实现户户通，居民生活用水水质、水量等均得到有效保障。点排水体制采用分流制，场地雨水经排水沟收集后排至场地南侧现状冲沟；生活污水通过集中化粪池处理后，分别收集污水至</w:t>
      </w:r>
      <w:r>
        <w:t>3</w:t>
      </w:r>
      <w:r>
        <w:rPr>
          <w:rFonts w:hint="eastAsia"/>
        </w:rPr>
        <w:t>处污水处理站集中处理。</w:t>
      </w:r>
    </w:p>
    <w:p>
      <w:pPr>
        <w:pStyle w:val="43"/>
        <w:ind w:firstLine="560"/>
      </w:pPr>
      <w:r>
        <w:rPr>
          <w:rFonts w:hint="eastAsia"/>
        </w:rPr>
        <w:t>安置点内主街道电力电信及广电线路架空敷设，居民户电力电信及广电均已实现户户通，并满足新农村建设的标准。点内规划村委会、文化室、卫生室合建，规划甘塘居民点与瓦渣箐居民点合建一处小学，且点内预留了农贸市场及幼儿园建设用地。点内已规划建设4座公共厕所，并配置垃圾收集点、移动式垃圾收集箱等设施，保障点内环境卫生整洁。</w:t>
      </w:r>
    </w:p>
    <w:p>
      <w:pPr>
        <w:pStyle w:val="43"/>
        <w:ind w:firstLine="560"/>
        <w:rPr>
          <w:lang w:bidi="en-US"/>
        </w:rPr>
      </w:pPr>
      <w:r>
        <w:rPr>
          <w:rFonts w:hint="eastAsia"/>
          <w:lang w:bidi="en-US"/>
        </w:rPr>
        <w:t>（</w:t>
      </w:r>
      <w:r>
        <w:rPr>
          <w:lang w:bidi="en-US"/>
        </w:rPr>
        <w:t>2</w:t>
      </w:r>
      <w:r>
        <w:rPr>
          <w:rFonts w:hint="eastAsia"/>
          <w:lang w:bidi="en-US"/>
        </w:rPr>
        <w:t>）项目建设必要性</w:t>
      </w:r>
    </w:p>
    <w:p>
      <w:pPr>
        <w:pStyle w:val="43"/>
        <w:ind w:firstLine="560"/>
        <w:rPr>
          <w:lang w:bidi="en-US"/>
        </w:rPr>
      </w:pPr>
      <w:r>
        <w:rPr>
          <w:rFonts w:hint="eastAsia"/>
          <w:lang w:bidi="en-US"/>
        </w:rPr>
        <w:t xml:space="preserve">与美丽家园有差距，与彝族风貌特点有差距，移民诉求较高， </w:t>
      </w:r>
    </w:p>
    <w:p>
      <w:pPr>
        <w:pStyle w:val="43"/>
        <w:ind w:firstLine="560"/>
        <w:rPr>
          <w:lang w:bidi="en-US"/>
        </w:rPr>
      </w:pPr>
      <w:r>
        <w:rPr>
          <w:rFonts w:hint="eastAsia"/>
          <w:lang w:bidi="en-US"/>
        </w:rPr>
        <w:t>甘塘安置点美丽家园建设是符合新型城镇化建设的需要，城镇是我国推进工业化城镇化的重要空间、城镇体系的重要一环、城乡融合发展的关键纽带，改革开放特别是党的十八大以来，城镇化建设日新月异，但公共卫生、人居环境、公共服务、市政设施、产业配套等方面仍存在一些短板，对经济发展和农业转移人口就近城镇化的支撑作用不足，与满足人民美好生活需要还有一定差距。另一方面，甘塘安置点美丽家园建设是改善移民生活环境的迫切需要，甘塘安置点建设基础较好，现状仍需增设部分公共服务设施及配套建设，以满足移民生产生活的需要。</w:t>
      </w:r>
    </w:p>
    <w:p>
      <w:pPr>
        <w:pStyle w:val="43"/>
        <w:ind w:firstLine="560"/>
        <w:rPr>
          <w:lang w:bidi="en-US"/>
        </w:rPr>
      </w:pPr>
      <w:r>
        <w:rPr>
          <w:rFonts w:hint="eastAsia"/>
          <w:lang w:bidi="en-US"/>
        </w:rPr>
        <w:t>（</w:t>
      </w:r>
      <w:r>
        <w:rPr>
          <w:lang w:bidi="en-US"/>
        </w:rPr>
        <w:t>3</w:t>
      </w:r>
      <w:r>
        <w:rPr>
          <w:rFonts w:hint="eastAsia"/>
          <w:lang w:bidi="en-US"/>
        </w:rPr>
        <w:t>）项目建设可行性</w:t>
      </w:r>
    </w:p>
    <w:p>
      <w:pPr>
        <w:pStyle w:val="43"/>
        <w:ind w:firstLine="560"/>
        <w:rPr>
          <w:lang w:bidi="en-US"/>
        </w:rPr>
      </w:pPr>
      <w:r>
        <w:rPr>
          <w:rFonts w:hint="eastAsia"/>
          <w:lang w:bidi="en-US"/>
        </w:rPr>
        <w:t>项目符合《乡镇发展总体规划》，将甘塘安置点打造成自然风光特色型美丽乡村。在安置点内部规划文化活动公共场所，完善了村内基本公共服务设施，通过文化活动广场的配套建设，进一步丰富了居民的休闲娱乐内容，同时增设环卫设施及管理，提升了居民的日常生产生活环境；通过果蔬分拣、保鲜冷藏、物流设施的配套建设，为移民提供了农产品加工、储运、交易的场地，可以为移民创造良好而课持续的产业发展基础，便于周边移民乃至村民生产、生活物资交流生活。</w:t>
      </w:r>
    </w:p>
    <w:p>
      <w:pPr>
        <w:pStyle w:val="43"/>
        <w:ind w:firstLine="560"/>
        <w:rPr>
          <w:lang w:bidi="en-US"/>
        </w:rPr>
      </w:pPr>
      <w:r>
        <w:rPr>
          <w:rFonts w:hint="eastAsia"/>
          <w:lang w:bidi="en-US"/>
        </w:rPr>
        <w:t>（</w:t>
      </w:r>
      <w:r>
        <w:rPr>
          <w:lang w:bidi="en-US"/>
        </w:rPr>
        <w:t>4</w:t>
      </w:r>
      <w:r>
        <w:rPr>
          <w:rFonts w:hint="eastAsia"/>
          <w:lang w:bidi="en-US"/>
        </w:rPr>
        <w:t>）规划内容及投资</w:t>
      </w:r>
    </w:p>
    <w:p>
      <w:pPr>
        <w:pStyle w:val="43"/>
        <w:ind w:firstLine="560"/>
        <w:rPr>
          <w:lang w:bidi="en-US"/>
        </w:rPr>
      </w:pPr>
      <w:r>
        <w:rPr>
          <w:lang w:bidi="en-US"/>
        </w:rPr>
        <w:t>规划</w:t>
      </w:r>
      <w:r>
        <w:rPr>
          <w:rFonts w:hint="eastAsia"/>
          <w:lang w:bidi="en-US"/>
        </w:rPr>
        <w:t>2021年至2022年实施该项目。</w:t>
      </w:r>
    </w:p>
    <w:p>
      <w:pPr>
        <w:pStyle w:val="43"/>
        <w:ind w:firstLine="560"/>
        <w:rPr>
          <w:lang w:bidi="en-US"/>
        </w:rPr>
      </w:pPr>
      <w:r>
        <w:rPr>
          <w:lang w:bidi="en-US"/>
        </w:rPr>
        <w:t>建设内容为</w:t>
      </w:r>
      <w:r>
        <w:rPr>
          <w:rFonts w:hint="eastAsia"/>
          <w:lang w:bidi="en-US"/>
        </w:rPr>
        <w:t>新建文化室</w:t>
      </w:r>
      <w:r>
        <w:rPr>
          <w:lang w:bidi="en-US"/>
        </w:rPr>
        <w:t>3幢、配套公厕</w:t>
      </w:r>
      <w:r>
        <w:rPr>
          <w:rFonts w:hint="eastAsia"/>
          <w:lang w:bidi="en-US"/>
        </w:rPr>
        <w:t>3处</w:t>
      </w:r>
      <w:r>
        <w:rPr>
          <w:lang w:bidi="en-US"/>
        </w:rPr>
        <w:t>、红白理事厅</w:t>
      </w:r>
      <w:r>
        <w:rPr>
          <w:rFonts w:hint="eastAsia"/>
          <w:lang w:bidi="en-US"/>
        </w:rPr>
        <w:t>1座</w:t>
      </w:r>
      <w:r>
        <w:rPr>
          <w:lang w:bidi="en-US"/>
        </w:rPr>
        <w:t>等。配套果蔬分拣场所</w:t>
      </w:r>
      <w:r>
        <w:rPr>
          <w:rFonts w:hint="eastAsia"/>
          <w:lang w:bidi="en-US"/>
        </w:rPr>
        <w:t>1处、保鲜冷藏场所1处、配套物流场所1处；新建环卫设施20套。</w:t>
      </w:r>
    </w:p>
    <w:p>
      <w:pPr>
        <w:pStyle w:val="43"/>
        <w:ind w:firstLine="560"/>
        <w:rPr>
          <w:lang w:bidi="en-US"/>
        </w:rPr>
      </w:pPr>
      <w:r>
        <w:rPr>
          <w:rFonts w:hint="eastAsia"/>
          <w:lang w:bidi="en-US"/>
        </w:rPr>
        <w:t>该项目规划总投资1176万元，均使用其他资金</w:t>
      </w:r>
      <w:r>
        <w:rPr>
          <w:lang w:bidi="en-US"/>
        </w:rPr>
        <w:t>。</w:t>
      </w:r>
    </w:p>
    <w:p>
      <w:pPr>
        <w:pStyle w:val="54"/>
        <w:ind w:firstLine="560"/>
      </w:pPr>
      <w:r>
        <w:rPr>
          <w:rFonts w:hint="eastAsia"/>
        </w:rPr>
        <w:t>2）元马镇瓦渣箐安置点美丽家园建设项目</w:t>
      </w:r>
    </w:p>
    <w:p>
      <w:pPr>
        <w:pStyle w:val="43"/>
        <w:ind w:firstLine="560"/>
        <w:rPr>
          <w:lang w:bidi="en-US"/>
        </w:rPr>
      </w:pPr>
      <w:r>
        <w:rPr>
          <w:rFonts w:hint="eastAsia"/>
          <w:lang w:bidi="en-US"/>
        </w:rPr>
        <w:t>（</w:t>
      </w:r>
      <w:r>
        <w:rPr>
          <w:lang w:bidi="en-US"/>
        </w:rPr>
        <w:t>1</w:t>
      </w:r>
      <w:r>
        <w:rPr>
          <w:rFonts w:hint="eastAsia"/>
          <w:lang w:bidi="en-US"/>
        </w:rPr>
        <w:t>）项目背景</w:t>
      </w:r>
    </w:p>
    <w:p>
      <w:pPr>
        <w:pStyle w:val="43"/>
        <w:ind w:firstLine="560"/>
      </w:pPr>
      <w:r>
        <w:rPr>
          <w:rFonts w:hint="eastAsia"/>
        </w:rPr>
        <w:t>瓦渣箐移民安置点位于元谋县城东南侧云南省农科院热区生态农业研究所至元谋和创绿色蔬菜产销合作社小那乌基地沿线，居民点距离县城</w:t>
      </w:r>
      <w:r>
        <w:t>1</w:t>
      </w:r>
      <w:r>
        <w:rPr>
          <w:rFonts w:hint="eastAsia"/>
        </w:rPr>
        <w:t>～</w:t>
      </w:r>
      <w:r>
        <w:t>3km</w:t>
      </w:r>
      <w:r>
        <w:rPr>
          <w:rFonts w:hint="eastAsia"/>
        </w:rPr>
        <w:t>。居民点人口规模3734人，用地总面积35.88hm</w:t>
      </w:r>
      <w:r>
        <w:rPr>
          <w:rFonts w:hint="eastAsia"/>
          <w:vertAlign w:val="superscript"/>
        </w:rPr>
        <w:t>2</w:t>
      </w:r>
      <w:r>
        <w:rPr>
          <w:rFonts w:hint="eastAsia"/>
        </w:rPr>
        <w:t>。居民点已于2020年基本建成，根据元谋县统计数据，2020年底已搬迁入住移民4178人。</w:t>
      </w:r>
    </w:p>
    <w:p>
      <w:pPr>
        <w:pStyle w:val="43"/>
        <w:ind w:firstLine="560"/>
      </w:pPr>
      <w:r>
        <w:rPr>
          <w:rFonts w:hint="eastAsia"/>
        </w:rPr>
        <w:t>点外道路按山区四级公路标准建设，双车道路基宽度</w:t>
      </w:r>
      <w:r>
        <w:t>6.5m</w:t>
      </w:r>
      <w:r>
        <w:rPr>
          <w:rFonts w:hint="eastAsia"/>
        </w:rPr>
        <w:t>，路面宽度</w:t>
      </w:r>
      <w:r>
        <w:t>6.0m</w:t>
      </w:r>
      <w:r>
        <w:rPr>
          <w:rFonts w:hint="eastAsia"/>
        </w:rPr>
        <w:t>，一共由两条路线组成，总长</w:t>
      </w:r>
      <w:r>
        <w:t>4.406km</w:t>
      </w:r>
      <w:r>
        <w:rPr>
          <w:rFonts w:hint="eastAsia"/>
        </w:rPr>
        <w:t>，分别连接安置点规划道路、108国道，混凝土路面；点内道路采用干路、支路、巷路三级路网系统，道路总长约12.95km，干路红线宽度为</w:t>
      </w:r>
      <w:r>
        <w:t>16m</w:t>
      </w:r>
      <w:r>
        <w:rPr>
          <w:rFonts w:hint="eastAsia"/>
        </w:rPr>
        <w:t>（其中车行道</w:t>
      </w:r>
      <w:r>
        <w:t>10m</w:t>
      </w:r>
      <w:r>
        <w:rPr>
          <w:rFonts w:hint="eastAsia"/>
        </w:rPr>
        <w:t>，两侧人行道各</w:t>
      </w:r>
      <w:r>
        <w:t>3m</w:t>
      </w:r>
      <w:r>
        <w:rPr>
          <w:rFonts w:hint="eastAsia"/>
        </w:rPr>
        <w:t>），支路红线宽度</w:t>
      </w:r>
      <w:r>
        <w:t>10m</w:t>
      </w:r>
      <w:r>
        <w:rPr>
          <w:rFonts w:hint="eastAsia"/>
        </w:rPr>
        <w:t>（其中车行道</w:t>
      </w:r>
      <w:r>
        <w:t>6m</w:t>
      </w:r>
      <w:r>
        <w:rPr>
          <w:rFonts w:hint="eastAsia"/>
        </w:rPr>
        <w:t>，两侧各</w:t>
      </w:r>
      <w:r>
        <w:t>2m</w:t>
      </w:r>
      <w:r>
        <w:rPr>
          <w:rFonts w:hint="eastAsia"/>
        </w:rPr>
        <w:t>人行道），巷路车行道宽度为</w:t>
      </w:r>
      <w:r>
        <w:t>3.5m</w:t>
      </w:r>
      <w:r>
        <w:rPr>
          <w:rFonts w:hint="eastAsia"/>
        </w:rPr>
        <w:t>，不设人行道，路面均采用混凝土硬化。</w:t>
      </w:r>
    </w:p>
    <w:p>
      <w:pPr>
        <w:pStyle w:val="43"/>
        <w:ind w:firstLine="560"/>
      </w:pPr>
      <w:r>
        <w:rPr>
          <w:rFonts w:hint="eastAsia"/>
        </w:rPr>
        <w:t>瓦渣箐安置点居民生活用水为元谋县自来水厂（挨小河水库水源）。居民点内已建成自来水供水系统，自来水实现户户通，居民生活用水水质、水量等均得到有效保障。点排水体制采用分流制，雨水通过点内排水系统排至场地现状冲沟；生活污水通过集中化粪池处理后，集中输送居民点外的</w:t>
      </w:r>
      <w:r>
        <w:t>3</w:t>
      </w:r>
      <w:r>
        <w:rPr>
          <w:rFonts w:hint="eastAsia"/>
        </w:rPr>
        <w:t>个污水处理站集中处理。</w:t>
      </w:r>
    </w:p>
    <w:p>
      <w:pPr>
        <w:pStyle w:val="43"/>
        <w:ind w:firstLine="560"/>
      </w:pPr>
      <w:r>
        <w:rPr>
          <w:rFonts w:hint="eastAsia"/>
        </w:rPr>
        <w:t>点内主街道电力电信及广电线路入地埋设，居民户电力电信及广电均已实现户户通，并满足新农村建设的标准。</w:t>
      </w:r>
    </w:p>
    <w:p>
      <w:pPr>
        <w:pStyle w:val="43"/>
        <w:ind w:firstLine="560"/>
        <w:rPr>
          <w:kern w:val="0"/>
          <w:szCs w:val="24"/>
          <w:highlight w:val="yellow"/>
          <w:lang w:bidi="en-US"/>
        </w:rPr>
      </w:pPr>
      <w:r>
        <w:rPr>
          <w:rFonts w:hint="eastAsia"/>
        </w:rPr>
        <w:t>点内规划村委会、文化室、卫生室合建；规划甘塘居民点与瓦渣箐居民点合建一处小学，且预留了农贸市场及幼儿园建设用地。安置点内已配置垃圾收集点、移动式垃圾收集箱等设施，保障点内环境卫生整洁。</w:t>
      </w:r>
    </w:p>
    <w:p>
      <w:pPr>
        <w:pStyle w:val="43"/>
        <w:ind w:firstLine="560"/>
        <w:rPr>
          <w:lang w:bidi="en-US"/>
        </w:rPr>
      </w:pPr>
      <w:r>
        <w:rPr>
          <w:rFonts w:hint="eastAsia"/>
          <w:lang w:bidi="en-US"/>
        </w:rPr>
        <w:t>（</w:t>
      </w:r>
      <w:r>
        <w:rPr>
          <w:lang w:bidi="en-US"/>
        </w:rPr>
        <w:t>2</w:t>
      </w:r>
      <w:r>
        <w:rPr>
          <w:rFonts w:hint="eastAsia"/>
          <w:lang w:bidi="en-US"/>
        </w:rPr>
        <w:t>）项目建设必要性</w:t>
      </w:r>
    </w:p>
    <w:p>
      <w:pPr>
        <w:pStyle w:val="43"/>
        <w:ind w:firstLine="560"/>
        <w:rPr>
          <w:lang w:bidi="en-US"/>
        </w:rPr>
      </w:pPr>
      <w:r>
        <w:rPr>
          <w:rFonts w:hint="eastAsia"/>
          <w:lang w:bidi="en-US"/>
        </w:rPr>
        <w:t>瓦渣箐</w:t>
      </w:r>
      <w:r>
        <w:rPr>
          <w:lang w:bidi="en-US"/>
        </w:rPr>
        <w:t>安置点总体以白墙灰瓦为主</w:t>
      </w:r>
      <w:r>
        <w:rPr>
          <w:rFonts w:hint="eastAsia"/>
          <w:lang w:bidi="en-US"/>
        </w:rPr>
        <w:t>，</w:t>
      </w:r>
      <w:r>
        <w:rPr>
          <w:lang w:bidi="en-US"/>
        </w:rPr>
        <w:t>建筑整体效果较好</w:t>
      </w:r>
      <w:r>
        <w:rPr>
          <w:rFonts w:hint="eastAsia"/>
          <w:lang w:bidi="en-US"/>
        </w:rPr>
        <w:t>，</w:t>
      </w:r>
      <w:r>
        <w:rPr>
          <w:lang w:bidi="en-US"/>
        </w:rPr>
        <w:t>建筑立面相对整洁</w:t>
      </w:r>
      <w:r>
        <w:rPr>
          <w:rFonts w:hint="eastAsia"/>
          <w:lang w:bidi="en-US"/>
        </w:rPr>
        <w:t>，</w:t>
      </w:r>
      <w:r>
        <w:rPr>
          <w:lang w:bidi="en-US"/>
        </w:rPr>
        <w:t>建筑质量相对较高</w:t>
      </w:r>
      <w:r>
        <w:rPr>
          <w:rFonts w:hint="eastAsia"/>
          <w:lang w:bidi="en-US"/>
        </w:rPr>
        <w:t>。</w:t>
      </w:r>
      <w:r>
        <w:rPr>
          <w:lang w:bidi="en-US"/>
        </w:rPr>
        <w:t>建筑立面的风格整体偏现代化</w:t>
      </w:r>
      <w:r>
        <w:rPr>
          <w:rFonts w:hint="eastAsia"/>
          <w:lang w:bidi="en-US"/>
        </w:rPr>
        <w:t>，但当地彝族风貌特征并不明显。</w:t>
      </w:r>
    </w:p>
    <w:p>
      <w:pPr>
        <w:pStyle w:val="43"/>
        <w:ind w:firstLine="560"/>
        <w:rPr>
          <w:lang w:bidi="en-US"/>
        </w:rPr>
      </w:pPr>
      <w:r>
        <w:rPr>
          <w:rFonts w:hint="eastAsia"/>
          <w:lang w:bidi="en-US"/>
        </w:rPr>
        <w:t>抽象彝族风建筑风格，提取传统民族元素，结合现有的建筑，保证沿街立面统一协调的同时，通过小构件装饰丰富街道里面的连续性和韵律感。</w:t>
      </w:r>
    </w:p>
    <w:p>
      <w:pPr>
        <w:pStyle w:val="43"/>
        <w:ind w:firstLine="560"/>
        <w:rPr>
          <w:lang w:bidi="en-US"/>
        </w:rPr>
      </w:pPr>
      <w:r>
        <w:rPr>
          <w:rFonts w:hint="eastAsia"/>
          <w:lang w:bidi="en-US"/>
        </w:rPr>
        <w:t>充分认识和了解彝族文化与传统文化，让彝族的图案元素的精华成为打造美丽家园整体风貌设计的一个新的创意点和启示点。</w:t>
      </w:r>
    </w:p>
    <w:p>
      <w:pPr>
        <w:pStyle w:val="43"/>
        <w:ind w:firstLine="560"/>
        <w:rPr>
          <w:lang w:bidi="en-US"/>
        </w:rPr>
      </w:pPr>
      <w:r>
        <w:rPr>
          <w:rFonts w:hint="eastAsia"/>
          <w:lang w:bidi="en-US"/>
        </w:rPr>
        <w:t>本土所处的环境上通过缜密思考，逐渐形成有文化的设计思维，而不是满街的张贴上有彝族符号的图案就能体现了彝族文化的精神这样简单的设计理念。</w:t>
      </w:r>
    </w:p>
    <w:p>
      <w:pPr>
        <w:pStyle w:val="43"/>
        <w:ind w:firstLine="560"/>
        <w:rPr>
          <w:lang w:bidi="en-US"/>
        </w:rPr>
      </w:pPr>
      <w:r>
        <w:rPr>
          <w:rFonts w:hint="eastAsia"/>
          <w:lang w:bidi="en-US"/>
        </w:rPr>
        <w:t>同时，针对安置点可持续性发展的需求现状，应增加必要的公共服务设施及生产生活所需的场所及设施。</w:t>
      </w:r>
    </w:p>
    <w:p>
      <w:pPr>
        <w:pStyle w:val="43"/>
        <w:ind w:firstLine="560"/>
        <w:rPr>
          <w:lang w:bidi="en-US"/>
        </w:rPr>
      </w:pPr>
      <w:r>
        <w:rPr>
          <w:rFonts w:hint="eastAsia"/>
          <w:lang w:bidi="en-US"/>
        </w:rPr>
        <w:t>（</w:t>
      </w:r>
      <w:r>
        <w:rPr>
          <w:lang w:bidi="en-US"/>
        </w:rPr>
        <w:t>3</w:t>
      </w:r>
      <w:r>
        <w:rPr>
          <w:rFonts w:hint="eastAsia"/>
          <w:lang w:bidi="en-US"/>
        </w:rPr>
        <w:t>）项目建设可行性</w:t>
      </w:r>
    </w:p>
    <w:p>
      <w:pPr>
        <w:pStyle w:val="43"/>
        <w:ind w:firstLine="560"/>
        <w:rPr>
          <w:lang w:bidi="en-US"/>
        </w:rPr>
      </w:pPr>
      <w:r>
        <w:rPr>
          <w:rFonts w:hint="eastAsia"/>
          <w:lang w:bidi="en-US"/>
        </w:rPr>
        <w:t>项目符合《乡镇发展总体规划》，将瓦扎箐安置点打造成民俗农业特色型美丽乡村。在安置点统一规划建筑外立面的设计，打造良好的安置点美丽家园风貌；内部规划文化活动公共场所，完善了村内基本公共服务设施，通过文化活动广场的配套建设，进一步丰富了居民的休闲娱乐内容，同时增设环卫设施及管理，提升了居民的日常生产生活环境；通过果蔬分拣、保鲜冷藏、物流设施的配套建设，为移民提供了农产品加工、储运、交易的场地，可以为移民创造良好而课持续的产业发展基础，便于周边移民乃至村民生产、生活物资交流生活。</w:t>
      </w:r>
    </w:p>
    <w:p>
      <w:pPr>
        <w:pStyle w:val="43"/>
        <w:ind w:firstLine="560"/>
        <w:rPr>
          <w:lang w:bidi="en-US"/>
        </w:rPr>
      </w:pPr>
      <w:r>
        <w:rPr>
          <w:rFonts w:hint="eastAsia"/>
          <w:lang w:bidi="en-US"/>
        </w:rPr>
        <w:t>（</w:t>
      </w:r>
      <w:r>
        <w:rPr>
          <w:lang w:bidi="en-US"/>
        </w:rPr>
        <w:t>4</w:t>
      </w:r>
      <w:r>
        <w:rPr>
          <w:rFonts w:hint="eastAsia"/>
          <w:lang w:bidi="en-US"/>
        </w:rPr>
        <w:t>）规划内容及投资</w:t>
      </w:r>
    </w:p>
    <w:p>
      <w:pPr>
        <w:pStyle w:val="43"/>
        <w:ind w:firstLine="560"/>
        <w:rPr>
          <w:lang w:bidi="en-US"/>
        </w:rPr>
      </w:pPr>
      <w:r>
        <w:rPr>
          <w:rFonts w:hint="eastAsia"/>
          <w:lang w:bidi="en-US"/>
        </w:rPr>
        <w:t>规划于2023-2024</w:t>
      </w:r>
      <w:r>
        <w:rPr>
          <w:lang w:bidi="en-US"/>
        </w:rPr>
        <w:t>年开展该项目。建设地点位于</w:t>
      </w:r>
      <w:r>
        <w:rPr>
          <w:rFonts w:hint="eastAsia"/>
          <w:lang w:bidi="en-US"/>
        </w:rPr>
        <w:t>元谋</w:t>
      </w:r>
      <w:r>
        <w:rPr>
          <w:lang w:bidi="en-US"/>
        </w:rPr>
        <w:t>县</w:t>
      </w:r>
      <w:r>
        <w:rPr>
          <w:rFonts w:hint="eastAsia"/>
          <w:lang w:bidi="en-US"/>
        </w:rPr>
        <w:t>元马</w:t>
      </w:r>
      <w:r>
        <w:rPr>
          <w:lang w:bidi="en-US"/>
        </w:rPr>
        <w:t>镇</w:t>
      </w:r>
      <w:r>
        <w:rPr>
          <w:rFonts w:hint="eastAsia"/>
          <w:lang w:bidi="en-US"/>
        </w:rPr>
        <w:t>金龙村</w:t>
      </w:r>
      <w:r>
        <w:rPr>
          <w:lang w:bidi="en-US"/>
        </w:rPr>
        <w:t>。</w:t>
      </w:r>
    </w:p>
    <w:p>
      <w:pPr>
        <w:pStyle w:val="43"/>
        <w:ind w:firstLine="560"/>
        <w:rPr>
          <w:lang w:bidi="en-US"/>
        </w:rPr>
      </w:pPr>
      <w:r>
        <w:rPr>
          <w:lang w:bidi="en-US"/>
        </w:rPr>
        <w:t>建设内容为</w:t>
      </w:r>
      <w:r>
        <w:rPr>
          <w:rFonts w:hint="eastAsia"/>
          <w:lang w:bidi="en-US"/>
        </w:rPr>
        <w:t>新建文化室8</w:t>
      </w:r>
      <w:r>
        <w:rPr>
          <w:lang w:bidi="en-US"/>
        </w:rPr>
        <w:t>幢、配套公厕</w:t>
      </w:r>
      <w:r>
        <w:rPr>
          <w:rFonts w:hint="eastAsia"/>
          <w:lang w:bidi="en-US"/>
        </w:rPr>
        <w:t>5处</w:t>
      </w:r>
      <w:r>
        <w:rPr>
          <w:lang w:bidi="en-US"/>
        </w:rPr>
        <w:t>、红白理事厅</w:t>
      </w:r>
      <w:r>
        <w:rPr>
          <w:rFonts w:hint="eastAsia"/>
          <w:lang w:bidi="en-US"/>
        </w:rPr>
        <w:t>3座</w:t>
      </w:r>
      <w:r>
        <w:rPr>
          <w:lang w:bidi="en-US"/>
        </w:rPr>
        <w:t>等。配套果蔬分拣场所</w:t>
      </w:r>
      <w:r>
        <w:rPr>
          <w:rFonts w:hint="eastAsia"/>
          <w:lang w:bidi="en-US"/>
        </w:rPr>
        <w:t>2处、保鲜冷藏场所2处、配套物流场所2处；新建环卫设施30套。</w:t>
      </w:r>
    </w:p>
    <w:p>
      <w:pPr>
        <w:pStyle w:val="43"/>
        <w:spacing w:line="240" w:lineRule="auto"/>
        <w:ind w:firstLine="0" w:firstLineChars="0"/>
        <w:rPr>
          <w:lang w:bidi="en-US"/>
        </w:rPr>
      </w:pPr>
      <w:r>
        <w:rPr>
          <w:rFonts w:hint="eastAsia"/>
          <w:lang w:bidi="en-US"/>
        </w:rPr>
        <w:t>同时，对安置点建筑外立面进行统一设计。屋檐下方增加屋檐构建，墙体延边统一刷仿木纹色黄漆，一、二层楼楼板位置统一加腰线，侧面墙体统一做成纹案设计，增加木色窗套。建筑外立面的打造整体融合彝族风貌特色，墙裙部分高600mm，统一做成青砖格纹图案丰富立面色彩。</w:t>
      </w:r>
    </w:p>
    <w:p>
      <w:pPr>
        <w:pStyle w:val="56"/>
      </w:pPr>
      <w:r>
        <w:rPr>
          <w:rFonts w:hint="eastAsia"/>
          <w:lang w:bidi="ar-SA"/>
        </w:rPr>
        <w:drawing>
          <wp:inline distT="0" distB="0" distL="0" distR="0">
            <wp:extent cx="5490845" cy="2458085"/>
            <wp:effectExtent l="0" t="0" r="0" b="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490845" cy="2458085"/>
                    </a:xfrm>
                    <a:prstGeom prst="rect">
                      <a:avLst/>
                    </a:prstGeom>
                    <a:noFill/>
                    <a:ln w="9525">
                      <a:noFill/>
                      <a:miter lim="800000"/>
                      <a:headEnd/>
                      <a:tailEnd/>
                    </a:ln>
                  </pic:spPr>
                </pic:pic>
              </a:graphicData>
            </a:graphic>
          </wp:inline>
        </w:drawing>
      </w:r>
    </w:p>
    <w:p>
      <w:pPr>
        <w:pStyle w:val="56"/>
      </w:pPr>
      <w:r>
        <w:rPr>
          <w:rFonts w:hint="eastAsia"/>
        </w:rPr>
        <w:t>立面效果示意图</w:t>
      </w:r>
    </w:p>
    <w:p>
      <w:pPr>
        <w:pStyle w:val="43"/>
        <w:ind w:firstLine="560"/>
        <w:rPr>
          <w:lang w:bidi="en-US"/>
        </w:rPr>
      </w:pPr>
      <w:r>
        <w:rPr>
          <w:rFonts w:hint="eastAsia"/>
          <w:lang w:bidi="en-US"/>
        </w:rPr>
        <w:t>该项目规划总投资2584万元，均使用其他资金</w:t>
      </w:r>
      <w:r>
        <w:rPr>
          <w:lang w:bidi="en-US"/>
        </w:rPr>
        <w:t>。</w:t>
      </w:r>
    </w:p>
    <w:p>
      <w:pPr>
        <w:pStyle w:val="54"/>
        <w:ind w:firstLine="560"/>
      </w:pPr>
      <w:r>
        <w:rPr>
          <w:rFonts w:hint="eastAsia"/>
        </w:rPr>
        <w:t>3）元谋县江边集镇安置点美丽家园建设项目</w:t>
      </w:r>
    </w:p>
    <w:p>
      <w:pPr>
        <w:pStyle w:val="43"/>
        <w:ind w:firstLine="560"/>
        <w:rPr>
          <w:lang w:bidi="en-US"/>
        </w:rPr>
      </w:pPr>
      <w:r>
        <w:rPr>
          <w:rFonts w:hint="eastAsia"/>
          <w:lang w:bidi="en-US"/>
        </w:rPr>
        <w:t>（</w:t>
      </w:r>
      <w:r>
        <w:rPr>
          <w:lang w:bidi="en-US"/>
        </w:rPr>
        <w:t>1</w:t>
      </w:r>
      <w:r>
        <w:rPr>
          <w:rFonts w:hint="eastAsia"/>
          <w:lang w:bidi="en-US"/>
        </w:rPr>
        <w:t>）项目背景</w:t>
      </w:r>
    </w:p>
    <w:p>
      <w:pPr>
        <w:pStyle w:val="43"/>
        <w:ind w:firstLine="560"/>
        <w:rPr>
          <w:lang w:bidi="en-US"/>
        </w:rPr>
      </w:pPr>
      <w:r>
        <w:rPr>
          <w:rFonts w:hint="eastAsia"/>
          <w:lang w:bidi="en-US"/>
        </w:rPr>
        <w:t>江边乡位于元谋县城北部，东倚万松山，与武定环州交界；南至渔洗，与黄瓜园镇接壤；西至刺果山、大坡头梁子，与物茂乡毗邻；北跨金沙江至火焰山、干海子梁子，与姜驿乡糯拉</w:t>
      </w:r>
      <w:r>
        <w:rPr>
          <w:rFonts w:hint="eastAsia" w:ascii="宋体" w:hAnsi="宋体" w:eastAsia="宋体" w:cs="宋体"/>
          <w:lang w:bidi="en-US"/>
        </w:rPr>
        <w:t>鲊</w:t>
      </w:r>
      <w:r>
        <w:rPr>
          <w:rFonts w:hint="eastAsia" w:hAnsi="仿宋_GB2312" w:cs="仿宋_GB2312"/>
          <w:lang w:bidi="en-US"/>
        </w:rPr>
        <w:t>村接壤。江边集镇安置点属于江边乡、涉及江边乡的龙街村、大树村等，距县城</w:t>
      </w:r>
      <w:r>
        <w:rPr>
          <w:lang w:bidi="en-US"/>
        </w:rPr>
        <w:t>25.5km</w:t>
      </w:r>
      <w:r>
        <w:rPr>
          <w:rFonts w:hint="eastAsia"/>
          <w:lang w:bidi="en-US"/>
        </w:rPr>
        <w:t>，属大树村委会管辖。</w:t>
      </w:r>
    </w:p>
    <w:p>
      <w:pPr>
        <w:pStyle w:val="43"/>
        <w:ind w:firstLine="560"/>
        <w:rPr>
          <w:snapToGrid w:val="0"/>
          <w:kern w:val="28"/>
        </w:rPr>
      </w:pPr>
      <w:r>
        <w:rPr>
          <w:rFonts w:hint="eastAsia"/>
        </w:rPr>
        <w:t>江边集镇安置点用地面积约53.09h</w:t>
      </w:r>
      <w:r>
        <w:t>m</w:t>
      </w:r>
      <w:r>
        <w:rPr>
          <w:vertAlign w:val="superscript"/>
        </w:rPr>
        <w:t>2</w:t>
      </w:r>
      <w:r>
        <w:rPr>
          <w:rFonts w:hint="eastAsia"/>
        </w:rPr>
        <w:t>。</w:t>
      </w:r>
      <w:r>
        <w:rPr>
          <w:rFonts w:hint="eastAsia"/>
          <w:snapToGrid w:val="0"/>
          <w:kern w:val="28"/>
        </w:rPr>
        <w:t>集镇新址紧邻黄江公路，交通较为便利。集镇人口规模4653人，</w:t>
      </w:r>
      <w:r>
        <w:rPr>
          <w:rFonts w:hint="eastAsia"/>
        </w:rPr>
        <w:t>规划搬迁安置3648人。江边集镇移民2020年已搬迁入住，根据元谋县最新统计情况，江边集镇安置点2020年底搬迁安置3939人。</w:t>
      </w:r>
    </w:p>
    <w:p>
      <w:pPr>
        <w:pStyle w:val="43"/>
        <w:ind w:firstLine="560"/>
      </w:pPr>
      <w:r>
        <w:rPr>
          <w:rFonts w:hint="eastAsia"/>
        </w:rPr>
        <w:t>安置点紧邻红色旅游路，出行便利；点内内道路分干路、支路及巷路3级设置，路面均采用混凝土硬化。</w:t>
      </w:r>
    </w:p>
    <w:p>
      <w:pPr>
        <w:pStyle w:val="43"/>
        <w:ind w:firstLine="560"/>
      </w:pPr>
      <w:r>
        <w:rPr>
          <w:rFonts w:hint="eastAsia"/>
        </w:rPr>
        <w:t>江边集镇安置点居民生活用水为元谋县自来水厂（挨小河水库水源）。居民点内已建成自来水供水系统，自来水实现户户通，居民生活用水水质、水量等均得到有效保障。排水体制采用生活污水和雨水分流制，场地雨水经排水沟收集后排至场地冲沟，污水排入场地北侧污水处理站集中处理。</w:t>
      </w:r>
    </w:p>
    <w:p>
      <w:pPr>
        <w:pStyle w:val="43"/>
        <w:ind w:firstLine="560"/>
      </w:pPr>
      <w:r>
        <w:rPr>
          <w:rFonts w:hint="eastAsia"/>
        </w:rPr>
        <w:t>安置点内主街道电力电信及广电线路入地埋设，居民户电力电信及广电均已实现户户通，并满足新农村建设的标准。</w:t>
      </w:r>
    </w:p>
    <w:p>
      <w:pPr>
        <w:pStyle w:val="43"/>
        <w:ind w:firstLine="560"/>
      </w:pPr>
      <w:r>
        <w:rPr>
          <w:rFonts w:hint="eastAsia"/>
        </w:rPr>
        <w:t>安置点规划村委会、文化室、卫生室合建，预留农贸市场及幼儿园建设用地。</w:t>
      </w:r>
    </w:p>
    <w:p>
      <w:pPr>
        <w:pStyle w:val="43"/>
        <w:ind w:firstLine="560"/>
      </w:pPr>
      <w:r>
        <w:rPr>
          <w:rFonts w:hint="eastAsia"/>
        </w:rPr>
        <w:t>安置点规划建设9座公共厕所，并配置垃圾桶125个，垃圾收集点14个，配置转运站1座，配置2辆7t垃圾转运车，垃圾运到新建的启宪垃圾填埋场。</w:t>
      </w:r>
    </w:p>
    <w:p>
      <w:pPr>
        <w:pStyle w:val="43"/>
        <w:ind w:firstLine="560"/>
        <w:rPr>
          <w:lang w:bidi="en-US"/>
        </w:rPr>
      </w:pPr>
      <w:r>
        <w:rPr>
          <w:rFonts w:hint="eastAsia"/>
          <w:lang w:bidi="en-US"/>
        </w:rPr>
        <w:t>（</w:t>
      </w:r>
      <w:r>
        <w:rPr>
          <w:lang w:bidi="en-US"/>
        </w:rPr>
        <w:t>2</w:t>
      </w:r>
      <w:r>
        <w:rPr>
          <w:rFonts w:hint="eastAsia"/>
          <w:lang w:bidi="en-US"/>
        </w:rPr>
        <w:t>）项目建设必要性</w:t>
      </w:r>
    </w:p>
    <w:p>
      <w:pPr>
        <w:pStyle w:val="43"/>
        <w:ind w:firstLine="560"/>
        <w:rPr>
          <w:lang w:bidi="en-US"/>
        </w:rPr>
      </w:pPr>
      <w:r>
        <w:rPr>
          <w:rFonts w:hint="eastAsia"/>
          <w:lang w:bidi="en-US"/>
        </w:rPr>
        <w:t>“彝海结盟”是中国共产党的民族政策在实践中的第一次体现和重大胜利，给奇迹般的万里长征增添了最光彩的一笔。在通过彝区的过程中，中国工农红军提出了“中国工农红军，解放弱小民族；一切彝汉平民，都是兄弟骨肉。”、“设立彝人</w:t>
      </w:r>
      <w:r>
        <w:rPr>
          <w:rFonts w:hint="eastAsia"/>
          <w:lang w:val="en-US" w:eastAsia="zh-CN" w:bidi="en-US"/>
        </w:rPr>
        <w:t xml:space="preserve">  </w:t>
      </w:r>
      <w:r>
        <w:rPr>
          <w:rFonts w:hint="eastAsia"/>
          <w:lang w:bidi="en-US"/>
        </w:rPr>
        <w:t>政府，彝族管理彝族”等主张，为革命胜利后制定民族政策和民族区域自治制度大侠了坚实的基础。深度挖掘江边集镇安置点的历史文化内涵，找出其特点所在。结合当地的历史场景、重大事件等讲好红色故事，再现革命岁月，以此增强吸引力是打造“红色</w:t>
      </w:r>
      <w:r>
        <w:rPr>
          <w:lang w:bidi="en-US"/>
        </w:rPr>
        <w:t>+</w:t>
      </w:r>
      <w:r>
        <w:rPr>
          <w:rFonts w:hint="eastAsia"/>
          <w:lang w:bidi="en-US"/>
        </w:rPr>
        <w:t>美丽乡村”品牌的关键。</w:t>
      </w:r>
    </w:p>
    <w:p>
      <w:pPr>
        <w:pStyle w:val="43"/>
        <w:ind w:firstLine="560"/>
        <w:rPr>
          <w:lang w:bidi="en-US"/>
        </w:rPr>
      </w:pPr>
      <w:r>
        <w:rPr>
          <w:rFonts w:hint="eastAsia"/>
          <w:lang w:bidi="en-US"/>
        </w:rPr>
        <w:t>红色旅游深层意义上是一种文化的感悟和教育，可以说是集接受教育、启迪心智、振奋精神、放松身心于一体。</w:t>
      </w:r>
    </w:p>
    <w:p>
      <w:pPr>
        <w:pStyle w:val="43"/>
        <w:ind w:firstLine="560"/>
        <w:rPr>
          <w:lang w:bidi="en-US"/>
        </w:rPr>
      </w:pPr>
      <w:r>
        <w:rPr>
          <w:rFonts w:hint="eastAsia"/>
          <w:lang w:bidi="en-US"/>
        </w:rPr>
        <w:t>江边集镇安置点总体以白墙灰瓦为主，建筑整体效果较好，建筑立面相对整洁，建筑质量相对较高。但建筑立面的风格不明显、不突出，没有结合红色文化的特色进行打造。结合红色旅游特点，打造江边集镇安置点美丽家园风貌。</w:t>
      </w:r>
    </w:p>
    <w:p>
      <w:pPr>
        <w:pStyle w:val="43"/>
        <w:ind w:firstLine="560"/>
        <w:rPr>
          <w:lang w:bidi="en-US"/>
        </w:rPr>
      </w:pPr>
      <w:r>
        <w:rPr>
          <w:rFonts w:hint="eastAsia"/>
          <w:lang w:bidi="en-US"/>
        </w:rPr>
        <w:t>同时，针对安置点可持续性发展的需求现状，应增加必要的公共服务设施及生产生活所需的场所及设施。</w:t>
      </w:r>
    </w:p>
    <w:p>
      <w:pPr>
        <w:pStyle w:val="43"/>
        <w:ind w:firstLine="560"/>
        <w:rPr>
          <w:lang w:bidi="en-US"/>
        </w:rPr>
      </w:pPr>
      <w:r>
        <w:rPr>
          <w:rFonts w:hint="eastAsia"/>
          <w:lang w:bidi="en-US"/>
        </w:rPr>
        <w:t>（</w:t>
      </w:r>
      <w:r>
        <w:rPr>
          <w:lang w:bidi="en-US"/>
        </w:rPr>
        <w:t>3</w:t>
      </w:r>
      <w:r>
        <w:rPr>
          <w:rFonts w:hint="eastAsia"/>
          <w:lang w:bidi="en-US"/>
        </w:rPr>
        <w:t>）项目建设可行性</w:t>
      </w:r>
    </w:p>
    <w:p>
      <w:pPr>
        <w:pStyle w:val="43"/>
        <w:ind w:firstLine="560"/>
        <w:rPr>
          <w:lang w:bidi="en-US"/>
        </w:rPr>
      </w:pPr>
      <w:r>
        <w:rPr>
          <w:rFonts w:hint="eastAsia"/>
          <w:lang w:bidi="en-US"/>
        </w:rPr>
        <w:t>项目符合《乡镇发展总体规划》，将江边集镇打造成旅游特色型美丽乡村。在安置点统一规划建筑外立面的设计，打造良好的安置点美丽家园风貌；内部规划文化活动公共场所及农贸市场，完善了村内基本公共服务设施，通过文化活动广场的配套建设，进一步丰富了居民的休闲娱乐内容，同时加强村间广场绿化、增设环卫设施及管理，提升了居民的日常生产生活环境；通过果蔬分拣、保鲜冷藏、物流设施的配套建设，为移民提供了农产品加工、储运、交易的场地，可以为移民创造良好而课持续的产业发展基础，便于周边移民乃至村民生产、生活物资交流生活。</w:t>
      </w:r>
    </w:p>
    <w:p>
      <w:pPr>
        <w:pStyle w:val="43"/>
        <w:ind w:firstLine="560"/>
        <w:rPr>
          <w:lang w:bidi="en-US"/>
        </w:rPr>
      </w:pPr>
      <w:r>
        <w:rPr>
          <w:rFonts w:hint="eastAsia"/>
          <w:lang w:bidi="en-US"/>
        </w:rPr>
        <w:t>（</w:t>
      </w:r>
      <w:r>
        <w:rPr>
          <w:lang w:bidi="en-US"/>
        </w:rPr>
        <w:t>4</w:t>
      </w:r>
      <w:r>
        <w:rPr>
          <w:rFonts w:hint="eastAsia"/>
          <w:lang w:bidi="en-US"/>
        </w:rPr>
        <w:t>）规划内容及投资</w:t>
      </w:r>
    </w:p>
    <w:p>
      <w:pPr>
        <w:pStyle w:val="43"/>
        <w:ind w:firstLine="560"/>
        <w:rPr>
          <w:lang w:bidi="en-US"/>
        </w:rPr>
      </w:pPr>
      <w:r>
        <w:rPr>
          <w:rFonts w:hint="eastAsia"/>
          <w:lang w:bidi="en-US"/>
        </w:rPr>
        <w:t>规划于2024-2025</w:t>
      </w:r>
      <w:r>
        <w:rPr>
          <w:lang w:bidi="en-US"/>
        </w:rPr>
        <w:t>年开展该项目。建设地点位于</w:t>
      </w:r>
      <w:r>
        <w:rPr>
          <w:rFonts w:hint="eastAsia"/>
          <w:lang w:bidi="en-US"/>
        </w:rPr>
        <w:t>元谋</w:t>
      </w:r>
      <w:r>
        <w:rPr>
          <w:lang w:bidi="en-US"/>
        </w:rPr>
        <w:t>县</w:t>
      </w:r>
      <w:r>
        <w:rPr>
          <w:rFonts w:hint="eastAsia"/>
          <w:lang w:bidi="en-US"/>
        </w:rPr>
        <w:t>江边乡龙街村、大树村</w:t>
      </w:r>
      <w:r>
        <w:rPr>
          <w:lang w:bidi="en-US"/>
        </w:rPr>
        <w:t>。</w:t>
      </w:r>
    </w:p>
    <w:p>
      <w:pPr>
        <w:pStyle w:val="43"/>
        <w:ind w:firstLine="560"/>
        <w:rPr>
          <w:lang w:bidi="en-US"/>
        </w:rPr>
      </w:pPr>
      <w:r>
        <w:rPr>
          <w:lang w:bidi="en-US"/>
        </w:rPr>
        <w:t>建设内容为</w:t>
      </w:r>
      <w:r>
        <w:rPr>
          <w:rFonts w:hint="eastAsia"/>
          <w:lang w:bidi="en-US"/>
        </w:rPr>
        <w:t>安置点建筑外立面设计；新建龙街村文化室共</w:t>
      </w:r>
      <w:r>
        <w:rPr>
          <w:lang w:bidi="en-US"/>
        </w:rPr>
        <w:t>2幢、配套公厕、红白理事厅等；江边集镇环卫设施、新建农贸市场</w:t>
      </w:r>
      <w:r>
        <w:rPr>
          <w:rFonts w:hint="eastAsia"/>
          <w:lang w:bidi="en-US"/>
        </w:rPr>
        <w:t>1处</w:t>
      </w:r>
      <w:r>
        <w:rPr>
          <w:lang w:bidi="en-US"/>
        </w:rPr>
        <w:t>；村间广场绿化；配套果蔬</w:t>
      </w:r>
      <w:r>
        <w:rPr>
          <w:rFonts w:hint="eastAsia"/>
          <w:lang w:eastAsia="zh-CN" w:bidi="en-US"/>
        </w:rPr>
        <w:t>分拣</w:t>
      </w:r>
      <w:r>
        <w:rPr>
          <w:lang w:bidi="en-US"/>
        </w:rPr>
        <w:t>、保鲜冷藏、物流设施。新建大树村委会办公楼1幢、文化室4幢、配套公厕、红白理事厅等；新建果蔬展示交易市场</w:t>
      </w:r>
      <w:r>
        <w:rPr>
          <w:rFonts w:hint="eastAsia"/>
          <w:lang w:bidi="en-US"/>
        </w:rPr>
        <w:t>一处；</w:t>
      </w:r>
    </w:p>
    <w:p>
      <w:pPr>
        <w:pStyle w:val="56"/>
      </w:pPr>
      <w:r>
        <w:rPr>
          <w:lang w:bidi="ar-SA"/>
        </w:rPr>
        <w:drawing>
          <wp:inline distT="0" distB="0" distL="0" distR="0">
            <wp:extent cx="5490210" cy="2256155"/>
            <wp:effectExtent l="0" t="0" r="0" b="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490210" cy="2256155"/>
                    </a:xfrm>
                    <a:prstGeom prst="rect">
                      <a:avLst/>
                    </a:prstGeom>
                    <a:noFill/>
                    <a:ln w="9525">
                      <a:noFill/>
                      <a:miter lim="800000"/>
                      <a:headEnd/>
                      <a:tailEnd/>
                    </a:ln>
                  </pic:spPr>
                </pic:pic>
              </a:graphicData>
            </a:graphic>
          </wp:inline>
        </w:drawing>
      </w:r>
    </w:p>
    <w:p>
      <w:pPr>
        <w:pStyle w:val="56"/>
      </w:pPr>
      <w:r>
        <w:rPr>
          <w:rFonts w:hint="eastAsia"/>
        </w:rPr>
        <w:t>立面效果示意图</w:t>
      </w:r>
    </w:p>
    <w:p>
      <w:pPr>
        <w:pStyle w:val="43"/>
        <w:ind w:firstLine="560"/>
        <w:rPr>
          <w:lang w:bidi="en-US"/>
        </w:rPr>
      </w:pPr>
      <w:r>
        <w:rPr>
          <w:lang w:bidi="en-US"/>
        </w:rPr>
        <w:t>村间广场绿化；配套果蔬</w:t>
      </w:r>
      <w:r>
        <w:rPr>
          <w:rFonts w:hint="eastAsia"/>
          <w:lang w:eastAsia="zh-CN" w:bidi="en-US"/>
        </w:rPr>
        <w:t>分拣</w:t>
      </w:r>
      <w:r>
        <w:rPr>
          <w:lang w:bidi="en-US"/>
        </w:rPr>
        <w:t>、保鲜冷藏、物流设施。</w:t>
      </w:r>
    </w:p>
    <w:p>
      <w:pPr>
        <w:pStyle w:val="43"/>
        <w:ind w:firstLine="560"/>
        <w:rPr>
          <w:lang w:bidi="en-US"/>
        </w:rPr>
      </w:pPr>
      <w:r>
        <w:rPr>
          <w:rFonts w:hint="eastAsia"/>
          <w:lang w:bidi="en-US"/>
        </w:rPr>
        <w:t>其中，建筑外立面设计为：墙体延边统一刷灰漆，侧面墙体统一做纹案设计，一、二层楼楼板位置统一加腰线，增加红色套窗。建筑外立面的打造整体融合红色旅游特色，墙裙部分高900mm，统一做成青砖格纹图案丰富立面色彩。</w:t>
      </w:r>
    </w:p>
    <w:p>
      <w:pPr>
        <w:pStyle w:val="43"/>
        <w:ind w:firstLine="560"/>
        <w:rPr>
          <w:lang w:bidi="en-US"/>
        </w:rPr>
      </w:pPr>
      <w:r>
        <w:rPr>
          <w:rFonts w:hint="eastAsia"/>
          <w:lang w:bidi="en-US"/>
        </w:rPr>
        <w:t>项目规划总投资5237.5万元投资</w:t>
      </w:r>
      <w:r>
        <w:rPr>
          <w:lang w:bidi="en-US"/>
        </w:rPr>
        <w:t>，</w:t>
      </w:r>
      <w:r>
        <w:rPr>
          <w:rFonts w:hint="eastAsia"/>
          <w:lang w:bidi="en-US"/>
        </w:rPr>
        <w:t>均</w:t>
      </w:r>
      <w:r>
        <w:rPr>
          <w:lang w:bidi="en-US"/>
        </w:rPr>
        <w:t>使用</w:t>
      </w:r>
      <w:r>
        <w:rPr>
          <w:rFonts w:hint="eastAsia"/>
          <w:lang w:bidi="en-US"/>
        </w:rPr>
        <w:t>其他</w:t>
      </w:r>
      <w:r>
        <w:rPr>
          <w:lang w:bidi="en-US"/>
        </w:rPr>
        <w:t>资金。</w:t>
      </w:r>
    </w:p>
    <w:p>
      <w:pPr>
        <w:pStyle w:val="3"/>
        <w:rPr>
          <w:rFonts w:hAnsi="Times New Roman" w:cs="Times New Roman"/>
          <w:szCs w:val="36"/>
        </w:rPr>
      </w:pPr>
      <w:bookmarkStart w:id="59" w:name="_Toc86914834"/>
      <w:r>
        <w:rPr>
          <w:rFonts w:hAnsi="Times New Roman" w:cs="Times New Roman"/>
          <w:szCs w:val="36"/>
        </w:rPr>
        <w:t>5.7</w:t>
      </w:r>
      <w:r>
        <w:rPr>
          <w:rFonts w:hint="eastAsia" w:hAnsi="Times New Roman" w:cs="Times New Roman"/>
          <w:szCs w:val="36"/>
        </w:rPr>
        <w:t>　后期扶持资金安排</w:t>
      </w:r>
      <w:bookmarkEnd w:id="59"/>
    </w:p>
    <w:p>
      <w:pPr>
        <w:pStyle w:val="43"/>
        <w:ind w:firstLine="560"/>
        <w:rPr>
          <w:lang w:bidi="en-US"/>
        </w:rPr>
      </w:pPr>
      <w:r>
        <w:rPr>
          <w:rFonts w:hint="eastAsia"/>
          <w:lang w:bidi="en-US"/>
        </w:rPr>
        <w:t>美丽家园</w:t>
      </w:r>
      <w:r>
        <w:rPr>
          <w:rFonts w:hint="eastAsia" w:eastAsia="宋体"/>
          <w:lang w:bidi="en-US"/>
        </w:rPr>
        <w:t>•</w:t>
      </w:r>
      <w:r>
        <w:rPr>
          <w:rFonts w:hint="eastAsia"/>
          <w:lang w:bidi="en-US"/>
        </w:rPr>
        <w:t>移民新村建设内容全部采用项目扶持的方式，通过建设解决核心民生问题的项目，补齐人居环境突出短板，完善基础设施建设，提升基本公共服务水平，创新移民村治理体系，推动乡村振兴，使移民直接受益。</w:t>
      </w:r>
    </w:p>
    <w:p>
      <w:pPr>
        <w:pStyle w:val="43"/>
        <w:ind w:firstLine="560"/>
        <w:rPr>
          <w:lang w:bidi="en-US"/>
        </w:rPr>
      </w:pPr>
      <w:r>
        <w:rPr>
          <w:rFonts w:hint="eastAsia"/>
          <w:lang w:bidi="en-US"/>
        </w:rPr>
        <w:t>规划按扶持方向和内容，就基础设施建设、公共服务设施、人居环境整治和社会治理四个建设项目进行估算，共规划美丽家园</w:t>
      </w:r>
      <w:r>
        <w:rPr>
          <w:rFonts w:hint="eastAsia" w:eastAsia="宋体"/>
          <w:lang w:bidi="en-US"/>
        </w:rPr>
        <w:t>•</w:t>
      </w:r>
      <w:r>
        <w:rPr>
          <w:rFonts w:hint="eastAsia"/>
          <w:lang w:bidi="en-US"/>
        </w:rPr>
        <w:t>移民新村项目14个（表</w:t>
      </w:r>
      <w:r>
        <w:rPr>
          <w:lang w:bidi="en-US"/>
        </w:rPr>
        <w:t>5.</w:t>
      </w:r>
      <w:r>
        <w:rPr>
          <w:rFonts w:hint="eastAsia"/>
          <w:lang w:bidi="en-US"/>
        </w:rPr>
        <w:t>7</w:t>
      </w:r>
      <w:r>
        <w:rPr>
          <w:lang w:bidi="en-US"/>
        </w:rPr>
        <w:t>-1中序号</w:t>
      </w:r>
      <w:r>
        <w:rPr>
          <w:rFonts w:hint="eastAsia"/>
          <w:lang w:bidi="en-US"/>
        </w:rPr>
        <w:t>1-3为重大项目），规划建设投资总计11440.50万元，其中使用后期扶持资金1628.00万元，占</w:t>
      </w:r>
      <w:r>
        <w:rPr>
          <w:lang w:bidi="en-US"/>
        </w:rPr>
        <w:t>“</w:t>
      </w:r>
      <w:r>
        <w:rPr>
          <w:rFonts w:hint="eastAsia"/>
          <w:lang w:bidi="en-US"/>
        </w:rPr>
        <w:t>十四五</w:t>
      </w:r>
      <w:r>
        <w:rPr>
          <w:lang w:bidi="en-US"/>
        </w:rPr>
        <w:t>”</w:t>
      </w:r>
      <w:r>
        <w:rPr>
          <w:rFonts w:hint="eastAsia"/>
          <w:lang w:bidi="en-US"/>
        </w:rPr>
        <w:t>期间后期扶持资金总额的比例9.41</w:t>
      </w:r>
      <w:r>
        <w:rPr>
          <w:lang w:bidi="en-US"/>
        </w:rPr>
        <w:t>%</w:t>
      </w:r>
      <w:r>
        <w:rPr>
          <w:rFonts w:hint="eastAsia"/>
          <w:lang w:bidi="en-US"/>
        </w:rPr>
        <w:t>；详见表</w:t>
      </w:r>
      <w:r>
        <w:rPr>
          <w:lang w:bidi="en-US"/>
        </w:rPr>
        <w:t>5.</w:t>
      </w:r>
      <w:r>
        <w:rPr>
          <w:rFonts w:hint="eastAsia"/>
          <w:lang w:bidi="en-US"/>
        </w:rPr>
        <w:t>7</w:t>
      </w:r>
      <w:r>
        <w:rPr>
          <w:lang w:bidi="en-US"/>
        </w:rPr>
        <w:t>-1</w:t>
      </w:r>
      <w:r>
        <w:rPr>
          <w:rFonts w:hint="eastAsia"/>
          <w:lang w:bidi="en-US"/>
        </w:rPr>
        <w:t>。</w:t>
      </w:r>
    </w:p>
    <w:p>
      <w:pPr>
        <w:pStyle w:val="53"/>
        <w:ind w:firstLine="240"/>
      </w:pPr>
      <w:r>
        <w:rPr>
          <w:rFonts w:hint="eastAsia"/>
        </w:rPr>
        <w:t>表</w:t>
      </w:r>
      <w:r>
        <w:t>5.</w:t>
      </w:r>
      <w:r>
        <w:rPr>
          <w:rFonts w:hint="eastAsia"/>
        </w:rPr>
        <w:t>7</w:t>
      </w:r>
      <w:r>
        <w:t>-1　</w:t>
      </w:r>
      <w:r>
        <w:rPr>
          <w:rFonts w:hint="eastAsia"/>
        </w:rPr>
        <w:t>　　　　　</w:t>
      </w:r>
      <w:r>
        <w:t>　　</w:t>
      </w:r>
      <w:r>
        <w:rPr>
          <w:rFonts w:hint="eastAsia"/>
        </w:rPr>
        <w:t>　美丽家园建设</w:t>
      </w:r>
      <w:r>
        <w:t>规划项目及扶持</w:t>
      </w:r>
      <w:r>
        <w:rPr>
          <w:rFonts w:hint="eastAsia"/>
        </w:rPr>
        <w:t>资金情况表</w:t>
      </w:r>
    </w:p>
    <w:tbl>
      <w:tblPr>
        <w:tblStyle w:val="23"/>
        <w:tblW w:w="9072" w:type="dxa"/>
        <w:jc w:val="center"/>
        <w:tblInd w:w="0" w:type="dxa"/>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426"/>
        <w:gridCol w:w="1981"/>
        <w:gridCol w:w="3384"/>
        <w:gridCol w:w="967"/>
        <w:gridCol w:w="829"/>
        <w:gridCol w:w="829"/>
        <w:gridCol w:w="656"/>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jc w:val="center"/>
        </w:trPr>
        <w:tc>
          <w:tcPr>
            <w:tcW w:w="426" w:type="dxa"/>
            <w:shd w:val="clear" w:color="auto" w:fill="auto"/>
            <w:vAlign w:val="center"/>
          </w:tcPr>
          <w:p>
            <w:pPr>
              <w:pStyle w:val="52"/>
            </w:pPr>
            <w:r>
              <w:rPr>
                <w:rFonts w:hint="eastAsia"/>
              </w:rPr>
              <w:t>序号</w:t>
            </w:r>
          </w:p>
        </w:tc>
        <w:tc>
          <w:tcPr>
            <w:tcW w:w="1981" w:type="dxa"/>
            <w:shd w:val="clear" w:color="auto" w:fill="auto"/>
            <w:vAlign w:val="center"/>
          </w:tcPr>
          <w:p>
            <w:pPr>
              <w:pStyle w:val="52"/>
            </w:pPr>
            <w:r>
              <w:rPr>
                <w:rFonts w:hint="eastAsia"/>
              </w:rPr>
              <w:t>项目名称</w:t>
            </w:r>
          </w:p>
        </w:tc>
        <w:tc>
          <w:tcPr>
            <w:tcW w:w="3384" w:type="dxa"/>
            <w:shd w:val="clear" w:color="000000" w:fill="FFFFFF"/>
            <w:vAlign w:val="center"/>
          </w:tcPr>
          <w:p>
            <w:pPr>
              <w:pStyle w:val="52"/>
            </w:pPr>
            <w:r>
              <w:rPr>
                <w:rFonts w:hint="eastAsia"/>
              </w:rPr>
              <w:t>建设内容及规模</w:t>
            </w:r>
          </w:p>
        </w:tc>
        <w:tc>
          <w:tcPr>
            <w:tcW w:w="967" w:type="dxa"/>
            <w:shd w:val="clear" w:color="000000" w:fill="FFFFFF"/>
            <w:vAlign w:val="center"/>
          </w:tcPr>
          <w:p>
            <w:pPr>
              <w:pStyle w:val="52"/>
            </w:pPr>
            <w:r>
              <w:rPr>
                <w:rFonts w:hint="eastAsia"/>
              </w:rPr>
              <w:t>起止</w:t>
            </w:r>
          </w:p>
          <w:p>
            <w:pPr>
              <w:pStyle w:val="52"/>
            </w:pPr>
            <w:r>
              <w:rPr>
                <w:rFonts w:hint="eastAsia"/>
              </w:rPr>
              <w:t>年限</w:t>
            </w:r>
          </w:p>
        </w:tc>
        <w:tc>
          <w:tcPr>
            <w:tcW w:w="829" w:type="dxa"/>
            <w:shd w:val="clear" w:color="000000" w:fill="FFFFFF"/>
            <w:vAlign w:val="center"/>
          </w:tcPr>
          <w:p>
            <w:pPr>
              <w:pStyle w:val="52"/>
              <w:ind w:left="-104" w:leftChars="-37" w:right="-64" w:rightChars="-23"/>
            </w:pPr>
            <w:r>
              <w:rPr>
                <w:rFonts w:hint="eastAsia"/>
              </w:rPr>
              <w:t>后扶</w:t>
            </w:r>
          </w:p>
          <w:p>
            <w:pPr>
              <w:pStyle w:val="52"/>
              <w:ind w:left="-104" w:leftChars="-37" w:right="-64" w:rightChars="-23"/>
            </w:pPr>
            <w:r>
              <w:rPr>
                <w:rFonts w:hint="eastAsia"/>
              </w:rPr>
              <w:t>资金</w:t>
            </w:r>
          </w:p>
          <w:p>
            <w:pPr>
              <w:pStyle w:val="52"/>
              <w:ind w:left="-104" w:leftChars="-37" w:right="-64" w:rightChars="-23"/>
            </w:pPr>
            <w:r>
              <w:rPr>
                <w:rFonts w:hint="eastAsia"/>
              </w:rPr>
              <w:t>（万元）</w:t>
            </w:r>
          </w:p>
        </w:tc>
        <w:tc>
          <w:tcPr>
            <w:tcW w:w="829" w:type="dxa"/>
            <w:shd w:val="clear" w:color="auto" w:fill="auto"/>
            <w:vAlign w:val="center"/>
          </w:tcPr>
          <w:p>
            <w:pPr>
              <w:pStyle w:val="52"/>
            </w:pPr>
            <w:r>
              <w:rPr>
                <w:rFonts w:hint="eastAsia"/>
              </w:rPr>
              <w:t>受益人数</w:t>
            </w:r>
          </w:p>
        </w:tc>
        <w:tc>
          <w:tcPr>
            <w:tcW w:w="656" w:type="dxa"/>
            <w:shd w:val="clear" w:color="auto" w:fill="auto"/>
            <w:vAlign w:val="center"/>
          </w:tcPr>
          <w:p>
            <w:pPr>
              <w:pStyle w:val="52"/>
            </w:pPr>
            <w:r>
              <w:rPr>
                <w:rFonts w:hint="eastAsia"/>
              </w:rPr>
              <w:t>受益移民人数</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jc w:val="center"/>
        </w:trPr>
        <w:tc>
          <w:tcPr>
            <w:tcW w:w="426" w:type="dxa"/>
            <w:shd w:val="clear" w:color="auto" w:fill="auto"/>
            <w:vAlign w:val="center"/>
          </w:tcPr>
          <w:p>
            <w:pPr>
              <w:pStyle w:val="52"/>
            </w:pPr>
            <w:r>
              <w:rPr>
                <w:rFonts w:hint="eastAsia"/>
              </w:rPr>
              <w:t>1</w:t>
            </w:r>
          </w:p>
        </w:tc>
        <w:tc>
          <w:tcPr>
            <w:tcW w:w="1981" w:type="dxa"/>
            <w:shd w:val="clear" w:color="auto" w:fill="auto"/>
            <w:vAlign w:val="center"/>
          </w:tcPr>
          <w:p>
            <w:pPr>
              <w:pStyle w:val="52"/>
              <w:jc w:val="both"/>
            </w:pPr>
            <w:r>
              <w:rPr>
                <w:rFonts w:hint="eastAsia"/>
              </w:rPr>
              <w:t>元谋县甘塘安置点美丽家园建设项目</w:t>
            </w:r>
          </w:p>
        </w:tc>
        <w:tc>
          <w:tcPr>
            <w:tcW w:w="3384" w:type="dxa"/>
            <w:shd w:val="clear" w:color="auto" w:fill="auto"/>
            <w:vAlign w:val="center"/>
          </w:tcPr>
          <w:p>
            <w:pPr>
              <w:pStyle w:val="52"/>
              <w:jc w:val="both"/>
            </w:pPr>
            <w:r>
              <w:rPr>
                <w:rFonts w:hint="eastAsia"/>
              </w:rPr>
              <w:t>新建文化室3幢、配套公厕、红白理事厅等；配套果蔬</w:t>
            </w:r>
            <w:r>
              <w:rPr>
                <w:rFonts w:hint="eastAsia"/>
                <w:lang w:eastAsia="zh-CN"/>
              </w:rPr>
              <w:t>分拣</w:t>
            </w:r>
            <w:r>
              <w:rPr>
                <w:rFonts w:hint="eastAsia"/>
              </w:rPr>
              <w:t>、保鲜冷藏、物流设施；配套环卫设施。</w:t>
            </w:r>
          </w:p>
        </w:tc>
        <w:tc>
          <w:tcPr>
            <w:tcW w:w="967" w:type="dxa"/>
            <w:shd w:val="clear" w:color="auto" w:fill="auto"/>
            <w:vAlign w:val="center"/>
          </w:tcPr>
          <w:p>
            <w:pPr>
              <w:pStyle w:val="52"/>
            </w:pPr>
            <w:r>
              <w:rPr>
                <w:rFonts w:hint="eastAsia"/>
              </w:rPr>
              <w:t>2021年-2022年</w:t>
            </w:r>
          </w:p>
        </w:tc>
        <w:tc>
          <w:tcPr>
            <w:tcW w:w="829" w:type="dxa"/>
            <w:shd w:val="clear" w:color="auto" w:fill="auto"/>
            <w:vAlign w:val="center"/>
          </w:tcPr>
          <w:p>
            <w:pPr>
              <w:pStyle w:val="52"/>
            </w:pPr>
            <w:r>
              <w:rPr>
                <w:rFonts w:hint="eastAsia"/>
              </w:rPr>
              <w:t>0</w:t>
            </w:r>
          </w:p>
        </w:tc>
        <w:tc>
          <w:tcPr>
            <w:tcW w:w="829" w:type="dxa"/>
            <w:shd w:val="clear" w:color="auto" w:fill="auto"/>
            <w:noWrap/>
            <w:vAlign w:val="center"/>
          </w:tcPr>
          <w:p>
            <w:pPr>
              <w:pStyle w:val="52"/>
            </w:pPr>
            <w:r>
              <w:rPr>
                <w:rFonts w:hint="eastAsia"/>
              </w:rPr>
              <w:t>2568</w:t>
            </w:r>
          </w:p>
        </w:tc>
        <w:tc>
          <w:tcPr>
            <w:tcW w:w="656" w:type="dxa"/>
            <w:shd w:val="clear" w:color="auto" w:fill="auto"/>
            <w:noWrap/>
            <w:vAlign w:val="center"/>
          </w:tcPr>
          <w:p>
            <w:pPr>
              <w:pStyle w:val="52"/>
            </w:pPr>
            <w:r>
              <w:rPr>
                <w:rFonts w:hint="eastAsia"/>
              </w:rPr>
              <w:t>2562</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jc w:val="center"/>
        </w:trPr>
        <w:tc>
          <w:tcPr>
            <w:tcW w:w="426" w:type="dxa"/>
            <w:shd w:val="clear" w:color="auto" w:fill="auto"/>
            <w:vAlign w:val="center"/>
          </w:tcPr>
          <w:p>
            <w:pPr>
              <w:pStyle w:val="52"/>
            </w:pPr>
            <w:r>
              <w:rPr>
                <w:rFonts w:hint="eastAsia"/>
              </w:rPr>
              <w:t>2</w:t>
            </w:r>
          </w:p>
        </w:tc>
        <w:tc>
          <w:tcPr>
            <w:tcW w:w="1981" w:type="dxa"/>
            <w:shd w:val="clear" w:color="auto" w:fill="auto"/>
            <w:vAlign w:val="center"/>
          </w:tcPr>
          <w:p>
            <w:pPr>
              <w:pStyle w:val="52"/>
              <w:jc w:val="both"/>
            </w:pPr>
            <w:r>
              <w:rPr>
                <w:rFonts w:hint="eastAsia"/>
              </w:rPr>
              <w:t>元谋县瓦渣箐安置点美丽家园建设项目</w:t>
            </w:r>
          </w:p>
        </w:tc>
        <w:tc>
          <w:tcPr>
            <w:tcW w:w="3384" w:type="dxa"/>
            <w:shd w:val="clear" w:color="auto" w:fill="auto"/>
            <w:vAlign w:val="center"/>
          </w:tcPr>
          <w:p>
            <w:pPr>
              <w:pStyle w:val="52"/>
              <w:jc w:val="both"/>
            </w:pPr>
            <w:r>
              <w:rPr>
                <w:rFonts w:hint="eastAsia"/>
              </w:rPr>
              <w:t>新建文化室8幢、配套公厕、红白理事厅等；配套果蔬</w:t>
            </w:r>
            <w:r>
              <w:rPr>
                <w:rFonts w:hint="eastAsia"/>
                <w:lang w:eastAsia="zh-CN"/>
              </w:rPr>
              <w:t>分拣</w:t>
            </w:r>
            <w:r>
              <w:rPr>
                <w:rFonts w:hint="eastAsia"/>
              </w:rPr>
              <w:t>室1座、保鲜冷藏场所1座、物流设施3处；配套环卫设施。</w:t>
            </w:r>
          </w:p>
        </w:tc>
        <w:tc>
          <w:tcPr>
            <w:tcW w:w="967" w:type="dxa"/>
            <w:shd w:val="clear" w:color="auto" w:fill="auto"/>
            <w:vAlign w:val="center"/>
          </w:tcPr>
          <w:p>
            <w:pPr>
              <w:pStyle w:val="52"/>
            </w:pPr>
            <w:r>
              <w:rPr>
                <w:rFonts w:hint="eastAsia"/>
              </w:rPr>
              <w:t>2023年-2024年</w:t>
            </w:r>
          </w:p>
        </w:tc>
        <w:tc>
          <w:tcPr>
            <w:tcW w:w="829" w:type="dxa"/>
            <w:shd w:val="clear" w:color="auto" w:fill="auto"/>
            <w:vAlign w:val="center"/>
          </w:tcPr>
          <w:p>
            <w:pPr>
              <w:pStyle w:val="52"/>
            </w:pPr>
            <w:r>
              <w:rPr>
                <w:rFonts w:hint="eastAsia"/>
              </w:rPr>
              <w:t>0</w:t>
            </w:r>
          </w:p>
        </w:tc>
        <w:tc>
          <w:tcPr>
            <w:tcW w:w="829" w:type="dxa"/>
            <w:shd w:val="clear" w:color="auto" w:fill="auto"/>
            <w:noWrap/>
            <w:vAlign w:val="center"/>
          </w:tcPr>
          <w:p>
            <w:pPr>
              <w:pStyle w:val="52"/>
            </w:pPr>
            <w:r>
              <w:rPr>
                <w:rFonts w:hint="eastAsia"/>
              </w:rPr>
              <w:t>4184</w:t>
            </w:r>
          </w:p>
        </w:tc>
        <w:tc>
          <w:tcPr>
            <w:tcW w:w="656" w:type="dxa"/>
            <w:shd w:val="clear" w:color="auto" w:fill="auto"/>
            <w:noWrap/>
            <w:vAlign w:val="center"/>
          </w:tcPr>
          <w:p>
            <w:pPr>
              <w:pStyle w:val="52"/>
            </w:pPr>
            <w:r>
              <w:rPr>
                <w:rFonts w:hint="eastAsia"/>
              </w:rPr>
              <w:t>4184</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jc w:val="center"/>
        </w:trPr>
        <w:tc>
          <w:tcPr>
            <w:tcW w:w="426" w:type="dxa"/>
            <w:shd w:val="clear" w:color="auto" w:fill="auto"/>
            <w:vAlign w:val="center"/>
          </w:tcPr>
          <w:p>
            <w:pPr>
              <w:pStyle w:val="52"/>
            </w:pPr>
            <w:r>
              <w:rPr>
                <w:rFonts w:hint="eastAsia"/>
              </w:rPr>
              <w:t>3</w:t>
            </w:r>
          </w:p>
        </w:tc>
        <w:tc>
          <w:tcPr>
            <w:tcW w:w="1981" w:type="dxa"/>
            <w:shd w:val="clear" w:color="auto" w:fill="auto"/>
            <w:vAlign w:val="center"/>
          </w:tcPr>
          <w:p>
            <w:pPr>
              <w:pStyle w:val="52"/>
              <w:jc w:val="both"/>
            </w:pPr>
            <w:r>
              <w:rPr>
                <w:rFonts w:hint="eastAsia"/>
              </w:rPr>
              <w:t>元谋县江边集镇安置点美丽家园建设项目</w:t>
            </w:r>
          </w:p>
        </w:tc>
        <w:tc>
          <w:tcPr>
            <w:tcW w:w="3384" w:type="dxa"/>
            <w:shd w:val="clear" w:color="auto" w:fill="auto"/>
            <w:vAlign w:val="center"/>
          </w:tcPr>
          <w:p>
            <w:pPr>
              <w:pStyle w:val="52"/>
              <w:jc w:val="both"/>
            </w:pPr>
            <w:r>
              <w:rPr>
                <w:rFonts w:hint="eastAsia"/>
              </w:rPr>
              <w:t>新建文化室2幢、配套公厕、红白理事厅等；江边集镇环卫设施、新建农贸市场1处；村间广场绿化；配套果蔬</w:t>
            </w:r>
            <w:r>
              <w:rPr>
                <w:rFonts w:hint="eastAsia"/>
                <w:lang w:eastAsia="zh-CN"/>
              </w:rPr>
              <w:t>分拣</w:t>
            </w:r>
            <w:r>
              <w:rPr>
                <w:rFonts w:hint="eastAsia"/>
              </w:rPr>
              <w:t>、保鲜冷藏、物流设施。新建村委会办公楼1幢、文化室4幢、配套公厕、红白理事厅等；新建果蔬展示、交易市场1处；村间广场绿化；配套果蔬</w:t>
            </w:r>
            <w:r>
              <w:rPr>
                <w:rFonts w:hint="eastAsia"/>
                <w:lang w:eastAsia="zh-CN"/>
              </w:rPr>
              <w:t>分拣</w:t>
            </w:r>
            <w:r>
              <w:rPr>
                <w:rFonts w:hint="eastAsia"/>
              </w:rPr>
              <w:t>、保鲜冷藏、物流设施。</w:t>
            </w:r>
          </w:p>
        </w:tc>
        <w:tc>
          <w:tcPr>
            <w:tcW w:w="967" w:type="dxa"/>
            <w:shd w:val="clear" w:color="auto" w:fill="auto"/>
            <w:vAlign w:val="center"/>
          </w:tcPr>
          <w:p>
            <w:pPr>
              <w:pStyle w:val="52"/>
            </w:pPr>
            <w:r>
              <w:rPr>
                <w:rFonts w:hint="eastAsia"/>
              </w:rPr>
              <w:t>2024年-2025年</w:t>
            </w:r>
          </w:p>
        </w:tc>
        <w:tc>
          <w:tcPr>
            <w:tcW w:w="829" w:type="dxa"/>
            <w:shd w:val="clear" w:color="auto" w:fill="auto"/>
            <w:vAlign w:val="center"/>
          </w:tcPr>
          <w:p>
            <w:pPr>
              <w:pStyle w:val="52"/>
            </w:pPr>
            <w:r>
              <w:rPr>
                <w:rFonts w:hint="eastAsia"/>
              </w:rPr>
              <w:t>0</w:t>
            </w:r>
          </w:p>
        </w:tc>
        <w:tc>
          <w:tcPr>
            <w:tcW w:w="829" w:type="dxa"/>
            <w:shd w:val="clear" w:color="auto" w:fill="auto"/>
            <w:noWrap/>
            <w:vAlign w:val="center"/>
          </w:tcPr>
          <w:p>
            <w:pPr>
              <w:pStyle w:val="52"/>
            </w:pPr>
            <w:r>
              <w:rPr>
                <w:rFonts w:hint="eastAsia"/>
              </w:rPr>
              <w:t>9070</w:t>
            </w:r>
          </w:p>
        </w:tc>
        <w:tc>
          <w:tcPr>
            <w:tcW w:w="656" w:type="dxa"/>
            <w:shd w:val="clear" w:color="auto" w:fill="auto"/>
            <w:noWrap/>
            <w:vAlign w:val="center"/>
          </w:tcPr>
          <w:p>
            <w:pPr>
              <w:pStyle w:val="52"/>
            </w:pPr>
            <w:r>
              <w:rPr>
                <w:rFonts w:hint="eastAsia"/>
              </w:rPr>
              <w:t>3834</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jc w:val="center"/>
        </w:trPr>
        <w:tc>
          <w:tcPr>
            <w:tcW w:w="426" w:type="dxa"/>
            <w:shd w:val="clear" w:color="auto" w:fill="auto"/>
            <w:vAlign w:val="center"/>
          </w:tcPr>
          <w:p>
            <w:pPr>
              <w:pStyle w:val="52"/>
            </w:pPr>
            <w:r>
              <w:rPr>
                <w:rFonts w:hint="eastAsia"/>
              </w:rPr>
              <w:t>4</w:t>
            </w:r>
          </w:p>
        </w:tc>
        <w:tc>
          <w:tcPr>
            <w:tcW w:w="1981" w:type="dxa"/>
            <w:shd w:val="clear" w:color="auto" w:fill="auto"/>
            <w:vAlign w:val="center"/>
          </w:tcPr>
          <w:p>
            <w:pPr>
              <w:pStyle w:val="52"/>
              <w:jc w:val="both"/>
            </w:pPr>
            <w:r>
              <w:rPr>
                <w:rFonts w:hint="eastAsia"/>
              </w:rPr>
              <w:t>元谋县江边乡龙街村委会小平地村美丽家园.移民新村</w:t>
            </w:r>
          </w:p>
        </w:tc>
        <w:tc>
          <w:tcPr>
            <w:tcW w:w="3384" w:type="dxa"/>
            <w:shd w:val="clear" w:color="auto" w:fill="auto"/>
            <w:vAlign w:val="center"/>
          </w:tcPr>
          <w:p>
            <w:pPr>
              <w:pStyle w:val="52"/>
              <w:jc w:val="both"/>
            </w:pPr>
            <w:r>
              <w:rPr>
                <w:rFonts w:hint="eastAsia"/>
              </w:rPr>
              <w:t>村内巷道硬化、民房建设补助、村内绿化、亮化、雨污收集处理、村外连接道路硬化等。</w:t>
            </w:r>
          </w:p>
        </w:tc>
        <w:tc>
          <w:tcPr>
            <w:tcW w:w="967" w:type="dxa"/>
            <w:shd w:val="clear" w:color="auto" w:fill="auto"/>
            <w:vAlign w:val="center"/>
          </w:tcPr>
          <w:p>
            <w:pPr>
              <w:pStyle w:val="52"/>
            </w:pPr>
            <w:r>
              <w:rPr>
                <w:rFonts w:hint="eastAsia"/>
              </w:rPr>
              <w:t>2022年-2023年</w:t>
            </w:r>
          </w:p>
        </w:tc>
        <w:tc>
          <w:tcPr>
            <w:tcW w:w="829" w:type="dxa"/>
            <w:shd w:val="clear" w:color="auto" w:fill="auto"/>
            <w:vAlign w:val="center"/>
          </w:tcPr>
          <w:p>
            <w:pPr>
              <w:pStyle w:val="52"/>
            </w:pPr>
            <w:r>
              <w:rPr>
                <w:rFonts w:hint="eastAsia"/>
              </w:rPr>
              <w:t>244</w:t>
            </w:r>
          </w:p>
        </w:tc>
        <w:tc>
          <w:tcPr>
            <w:tcW w:w="829" w:type="dxa"/>
            <w:shd w:val="clear" w:color="auto" w:fill="auto"/>
            <w:vAlign w:val="center"/>
          </w:tcPr>
          <w:p>
            <w:pPr>
              <w:pStyle w:val="52"/>
            </w:pPr>
            <w:r>
              <w:rPr>
                <w:rFonts w:hint="eastAsia"/>
              </w:rPr>
              <w:t>4375</w:t>
            </w:r>
          </w:p>
        </w:tc>
        <w:tc>
          <w:tcPr>
            <w:tcW w:w="656" w:type="dxa"/>
            <w:shd w:val="clear" w:color="auto" w:fill="auto"/>
            <w:vAlign w:val="center"/>
          </w:tcPr>
          <w:p>
            <w:pPr>
              <w:pStyle w:val="52"/>
            </w:pPr>
            <w:r>
              <w:rPr>
                <w:rFonts w:hint="eastAsia"/>
              </w:rPr>
              <w:t>6</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jc w:val="center"/>
        </w:trPr>
        <w:tc>
          <w:tcPr>
            <w:tcW w:w="426" w:type="dxa"/>
            <w:shd w:val="clear" w:color="auto" w:fill="auto"/>
            <w:vAlign w:val="center"/>
          </w:tcPr>
          <w:p>
            <w:pPr>
              <w:pStyle w:val="52"/>
            </w:pPr>
            <w:r>
              <w:rPr>
                <w:rFonts w:hint="eastAsia"/>
              </w:rPr>
              <w:t>5</w:t>
            </w:r>
          </w:p>
        </w:tc>
        <w:tc>
          <w:tcPr>
            <w:tcW w:w="1981" w:type="dxa"/>
            <w:shd w:val="clear" w:color="auto" w:fill="auto"/>
            <w:vAlign w:val="center"/>
          </w:tcPr>
          <w:p>
            <w:pPr>
              <w:pStyle w:val="52"/>
              <w:jc w:val="both"/>
            </w:pPr>
            <w:r>
              <w:rPr>
                <w:rFonts w:hint="eastAsia"/>
              </w:rPr>
              <w:t>元谋县江边乡龙街村委会阿柱河村美丽家园.移民新村</w:t>
            </w:r>
          </w:p>
        </w:tc>
        <w:tc>
          <w:tcPr>
            <w:tcW w:w="3384" w:type="dxa"/>
            <w:shd w:val="clear" w:color="auto" w:fill="auto"/>
            <w:vAlign w:val="center"/>
          </w:tcPr>
          <w:p>
            <w:pPr>
              <w:pStyle w:val="52"/>
              <w:jc w:val="both"/>
            </w:pPr>
            <w:r>
              <w:rPr>
                <w:rFonts w:hint="eastAsia"/>
              </w:rPr>
              <w:t>民房建设补助、安全饮水、村内绿化亮化、雨污收集处理、村外连接道路硬化、新建蓄水池一个等。</w:t>
            </w:r>
          </w:p>
        </w:tc>
        <w:tc>
          <w:tcPr>
            <w:tcW w:w="967" w:type="dxa"/>
            <w:shd w:val="clear" w:color="auto" w:fill="auto"/>
            <w:vAlign w:val="center"/>
          </w:tcPr>
          <w:p>
            <w:pPr>
              <w:pStyle w:val="52"/>
            </w:pPr>
            <w:r>
              <w:rPr>
                <w:rFonts w:hint="eastAsia"/>
              </w:rPr>
              <w:t>2024年-2025年</w:t>
            </w:r>
          </w:p>
        </w:tc>
        <w:tc>
          <w:tcPr>
            <w:tcW w:w="829" w:type="dxa"/>
            <w:shd w:val="clear" w:color="auto" w:fill="auto"/>
            <w:vAlign w:val="center"/>
          </w:tcPr>
          <w:p>
            <w:pPr>
              <w:pStyle w:val="52"/>
            </w:pPr>
            <w:r>
              <w:rPr>
                <w:rFonts w:hint="eastAsia"/>
              </w:rPr>
              <w:t>180</w:t>
            </w:r>
          </w:p>
        </w:tc>
        <w:tc>
          <w:tcPr>
            <w:tcW w:w="829" w:type="dxa"/>
            <w:shd w:val="clear" w:color="auto" w:fill="auto"/>
            <w:vAlign w:val="center"/>
          </w:tcPr>
          <w:p>
            <w:pPr>
              <w:pStyle w:val="52"/>
            </w:pPr>
            <w:r>
              <w:rPr>
                <w:rFonts w:hint="eastAsia"/>
              </w:rPr>
              <w:t>4375</w:t>
            </w:r>
          </w:p>
        </w:tc>
        <w:tc>
          <w:tcPr>
            <w:tcW w:w="656" w:type="dxa"/>
            <w:shd w:val="clear" w:color="auto" w:fill="auto"/>
            <w:vAlign w:val="center"/>
          </w:tcPr>
          <w:p>
            <w:pPr>
              <w:pStyle w:val="52"/>
            </w:pPr>
            <w:r>
              <w:rPr>
                <w:rFonts w:hint="eastAsia"/>
              </w:rPr>
              <w:t>29</w:t>
            </w:r>
          </w:p>
        </w:tc>
      </w:tr>
    </w:tbl>
    <w:p>
      <w:pPr>
        <w:pStyle w:val="53"/>
        <w:ind w:firstLine="280"/>
      </w:pPr>
      <w:r>
        <w:rPr>
          <w:rFonts w:ascii="仿宋_GB2312" w:eastAsia="仿宋_GB2312" w:hAnsiTheme="minorHAnsi"/>
          <w:bCs w:val="0"/>
          <w:sz w:val="28"/>
        </w:rPr>
        <w:br w:type="page"/>
      </w:r>
      <w:r>
        <w:rPr>
          <w:rFonts w:hint="eastAsia"/>
        </w:rPr>
        <w:t>续表</w:t>
      </w:r>
      <w:r>
        <w:t>5.</w:t>
      </w:r>
      <w:r>
        <w:rPr>
          <w:rFonts w:hint="eastAsia"/>
        </w:rPr>
        <w:t>7</w:t>
      </w:r>
      <w:r>
        <w:t>-1　　</w:t>
      </w:r>
      <w:r>
        <w:rPr>
          <w:rFonts w:hint="eastAsia"/>
        </w:rPr>
        <w:t>　　</w:t>
      </w:r>
      <w:r>
        <w:t>　　</w:t>
      </w:r>
      <w:r>
        <w:rPr>
          <w:rFonts w:hint="eastAsia"/>
        </w:rPr>
        <w:t xml:space="preserve"> 美丽家园建设</w:t>
      </w:r>
      <w:r>
        <w:t>规划项目及扶持</w:t>
      </w:r>
      <w:r>
        <w:rPr>
          <w:rFonts w:hint="eastAsia"/>
        </w:rPr>
        <w:t>资金情况表</w:t>
      </w:r>
    </w:p>
    <w:tbl>
      <w:tblPr>
        <w:tblStyle w:val="23"/>
        <w:tblW w:w="9072" w:type="dxa"/>
        <w:jc w:val="center"/>
        <w:tblInd w:w="0" w:type="dxa"/>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426"/>
        <w:gridCol w:w="1981"/>
        <w:gridCol w:w="3384"/>
        <w:gridCol w:w="967"/>
        <w:gridCol w:w="829"/>
        <w:gridCol w:w="829"/>
        <w:gridCol w:w="656"/>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jc w:val="center"/>
        </w:trPr>
        <w:tc>
          <w:tcPr>
            <w:tcW w:w="426" w:type="dxa"/>
            <w:shd w:val="clear" w:color="auto" w:fill="auto"/>
            <w:vAlign w:val="center"/>
          </w:tcPr>
          <w:p>
            <w:pPr>
              <w:pStyle w:val="52"/>
            </w:pPr>
            <w:r>
              <w:rPr>
                <w:rFonts w:hint="eastAsia"/>
              </w:rPr>
              <w:t>序号</w:t>
            </w:r>
          </w:p>
        </w:tc>
        <w:tc>
          <w:tcPr>
            <w:tcW w:w="1981" w:type="dxa"/>
            <w:shd w:val="clear" w:color="auto" w:fill="auto"/>
            <w:vAlign w:val="center"/>
          </w:tcPr>
          <w:p>
            <w:pPr>
              <w:pStyle w:val="52"/>
            </w:pPr>
            <w:r>
              <w:rPr>
                <w:rFonts w:hint="eastAsia"/>
              </w:rPr>
              <w:t>项目名称</w:t>
            </w:r>
          </w:p>
        </w:tc>
        <w:tc>
          <w:tcPr>
            <w:tcW w:w="3384" w:type="dxa"/>
            <w:shd w:val="clear" w:color="000000" w:fill="FFFFFF"/>
            <w:vAlign w:val="center"/>
          </w:tcPr>
          <w:p>
            <w:pPr>
              <w:pStyle w:val="52"/>
            </w:pPr>
            <w:r>
              <w:rPr>
                <w:rFonts w:hint="eastAsia"/>
              </w:rPr>
              <w:t>建设内容及规模</w:t>
            </w:r>
          </w:p>
        </w:tc>
        <w:tc>
          <w:tcPr>
            <w:tcW w:w="967" w:type="dxa"/>
            <w:shd w:val="clear" w:color="000000" w:fill="FFFFFF"/>
            <w:vAlign w:val="center"/>
          </w:tcPr>
          <w:p>
            <w:pPr>
              <w:pStyle w:val="52"/>
            </w:pPr>
            <w:r>
              <w:rPr>
                <w:rFonts w:hint="eastAsia"/>
              </w:rPr>
              <w:t>起止</w:t>
            </w:r>
          </w:p>
          <w:p>
            <w:pPr>
              <w:pStyle w:val="52"/>
            </w:pPr>
            <w:r>
              <w:rPr>
                <w:rFonts w:hint="eastAsia"/>
              </w:rPr>
              <w:t>年限</w:t>
            </w:r>
          </w:p>
        </w:tc>
        <w:tc>
          <w:tcPr>
            <w:tcW w:w="829" w:type="dxa"/>
            <w:shd w:val="clear" w:color="000000" w:fill="FFFFFF"/>
            <w:vAlign w:val="center"/>
          </w:tcPr>
          <w:p>
            <w:pPr>
              <w:pStyle w:val="52"/>
              <w:ind w:left="-76" w:leftChars="-27" w:right="-50" w:rightChars="-18"/>
            </w:pPr>
            <w:r>
              <w:rPr>
                <w:rFonts w:hint="eastAsia"/>
              </w:rPr>
              <w:t>后扶</w:t>
            </w:r>
          </w:p>
          <w:p>
            <w:pPr>
              <w:pStyle w:val="52"/>
              <w:ind w:left="-76" w:leftChars="-27" w:right="-50" w:rightChars="-18"/>
            </w:pPr>
            <w:r>
              <w:rPr>
                <w:rFonts w:hint="eastAsia"/>
              </w:rPr>
              <w:t>资金</w:t>
            </w:r>
          </w:p>
          <w:p>
            <w:pPr>
              <w:pStyle w:val="52"/>
              <w:ind w:left="-76" w:leftChars="-27" w:right="-50" w:rightChars="-18"/>
            </w:pPr>
            <w:r>
              <w:rPr>
                <w:rFonts w:hint="eastAsia"/>
              </w:rPr>
              <w:t>（万元）</w:t>
            </w:r>
          </w:p>
        </w:tc>
        <w:tc>
          <w:tcPr>
            <w:tcW w:w="829" w:type="dxa"/>
            <w:shd w:val="clear" w:color="auto" w:fill="auto"/>
            <w:vAlign w:val="center"/>
          </w:tcPr>
          <w:p>
            <w:pPr>
              <w:pStyle w:val="52"/>
            </w:pPr>
            <w:r>
              <w:rPr>
                <w:rFonts w:hint="eastAsia"/>
              </w:rPr>
              <w:t>受益人数</w:t>
            </w:r>
          </w:p>
        </w:tc>
        <w:tc>
          <w:tcPr>
            <w:tcW w:w="656" w:type="dxa"/>
            <w:shd w:val="clear" w:color="auto" w:fill="auto"/>
            <w:vAlign w:val="center"/>
          </w:tcPr>
          <w:p>
            <w:pPr>
              <w:pStyle w:val="52"/>
            </w:pPr>
            <w:r>
              <w:rPr>
                <w:rFonts w:hint="eastAsia"/>
              </w:rPr>
              <w:t>受益移民人数</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jc w:val="center"/>
        </w:trPr>
        <w:tc>
          <w:tcPr>
            <w:tcW w:w="426" w:type="dxa"/>
            <w:shd w:val="clear" w:color="auto" w:fill="auto"/>
            <w:vAlign w:val="center"/>
          </w:tcPr>
          <w:p>
            <w:pPr>
              <w:pStyle w:val="52"/>
            </w:pPr>
            <w:r>
              <w:rPr>
                <w:rFonts w:hint="eastAsia"/>
              </w:rPr>
              <w:t>6</w:t>
            </w:r>
          </w:p>
        </w:tc>
        <w:tc>
          <w:tcPr>
            <w:tcW w:w="1981" w:type="dxa"/>
            <w:shd w:val="clear" w:color="auto" w:fill="auto"/>
            <w:vAlign w:val="center"/>
          </w:tcPr>
          <w:p>
            <w:pPr>
              <w:pStyle w:val="52"/>
              <w:jc w:val="both"/>
            </w:pPr>
            <w:r>
              <w:rPr>
                <w:rFonts w:hint="eastAsia"/>
              </w:rPr>
              <w:t>元谋县江边乡大树村委会打腊村美丽家园建设项目</w:t>
            </w:r>
          </w:p>
        </w:tc>
        <w:tc>
          <w:tcPr>
            <w:tcW w:w="3384" w:type="dxa"/>
            <w:shd w:val="clear" w:color="auto" w:fill="auto"/>
            <w:vAlign w:val="center"/>
          </w:tcPr>
          <w:p>
            <w:pPr>
              <w:pStyle w:val="52"/>
              <w:jc w:val="both"/>
            </w:pPr>
            <w:r>
              <w:rPr>
                <w:rFonts w:hint="eastAsia"/>
              </w:rPr>
              <w:t>新建公共服务设施、道路、环卫设施、给排水、环保、村庄美化亮化、民居改造、人畜分离工程</w:t>
            </w:r>
          </w:p>
        </w:tc>
        <w:tc>
          <w:tcPr>
            <w:tcW w:w="967" w:type="dxa"/>
            <w:shd w:val="clear" w:color="auto" w:fill="auto"/>
            <w:vAlign w:val="center"/>
          </w:tcPr>
          <w:p>
            <w:pPr>
              <w:pStyle w:val="52"/>
            </w:pPr>
            <w:r>
              <w:rPr>
                <w:rFonts w:hint="eastAsia"/>
              </w:rPr>
              <w:t>2022年-2023年</w:t>
            </w:r>
          </w:p>
        </w:tc>
        <w:tc>
          <w:tcPr>
            <w:tcW w:w="829" w:type="dxa"/>
            <w:shd w:val="clear" w:color="auto" w:fill="auto"/>
            <w:vAlign w:val="center"/>
          </w:tcPr>
          <w:p>
            <w:pPr>
              <w:pStyle w:val="52"/>
            </w:pPr>
            <w:r>
              <w:rPr>
                <w:rFonts w:hint="eastAsia"/>
              </w:rPr>
              <w:t>220</w:t>
            </w:r>
          </w:p>
        </w:tc>
        <w:tc>
          <w:tcPr>
            <w:tcW w:w="829" w:type="dxa"/>
            <w:shd w:val="clear" w:color="auto" w:fill="auto"/>
            <w:vAlign w:val="center"/>
          </w:tcPr>
          <w:p>
            <w:pPr>
              <w:pStyle w:val="52"/>
            </w:pPr>
            <w:r>
              <w:rPr>
                <w:rFonts w:hint="eastAsia"/>
              </w:rPr>
              <w:t>4695</w:t>
            </w:r>
          </w:p>
        </w:tc>
        <w:tc>
          <w:tcPr>
            <w:tcW w:w="656" w:type="dxa"/>
            <w:shd w:val="clear" w:color="auto" w:fill="auto"/>
            <w:vAlign w:val="center"/>
          </w:tcPr>
          <w:p>
            <w:pPr>
              <w:pStyle w:val="52"/>
            </w:pPr>
            <w:r>
              <w:rPr>
                <w:rFonts w:hint="eastAsia"/>
              </w:rPr>
              <w:t>36</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jc w:val="center"/>
        </w:trPr>
        <w:tc>
          <w:tcPr>
            <w:tcW w:w="426" w:type="dxa"/>
            <w:shd w:val="clear" w:color="auto" w:fill="auto"/>
            <w:vAlign w:val="center"/>
          </w:tcPr>
          <w:p>
            <w:pPr>
              <w:pStyle w:val="52"/>
            </w:pPr>
            <w:r>
              <w:rPr>
                <w:rFonts w:hint="eastAsia"/>
              </w:rPr>
              <w:t>7</w:t>
            </w:r>
          </w:p>
        </w:tc>
        <w:tc>
          <w:tcPr>
            <w:tcW w:w="1981" w:type="dxa"/>
            <w:shd w:val="clear" w:color="auto" w:fill="auto"/>
            <w:vAlign w:val="center"/>
          </w:tcPr>
          <w:p>
            <w:pPr>
              <w:pStyle w:val="52"/>
              <w:jc w:val="both"/>
            </w:pPr>
            <w:r>
              <w:rPr>
                <w:rFonts w:hint="eastAsia"/>
              </w:rPr>
              <w:t>元谋县江边乡大树村委会启宪村美丽家园建设项目</w:t>
            </w:r>
          </w:p>
        </w:tc>
        <w:tc>
          <w:tcPr>
            <w:tcW w:w="3384" w:type="dxa"/>
            <w:shd w:val="clear" w:color="auto" w:fill="auto"/>
            <w:vAlign w:val="center"/>
          </w:tcPr>
          <w:p>
            <w:pPr>
              <w:pStyle w:val="52"/>
              <w:jc w:val="both"/>
            </w:pPr>
            <w:r>
              <w:rPr>
                <w:rFonts w:hint="eastAsia"/>
              </w:rPr>
              <w:t>村庄美化绿化亮化、环卫设施、雨污收集处理，</w:t>
            </w:r>
          </w:p>
        </w:tc>
        <w:tc>
          <w:tcPr>
            <w:tcW w:w="967" w:type="dxa"/>
            <w:shd w:val="clear" w:color="auto" w:fill="auto"/>
            <w:vAlign w:val="center"/>
          </w:tcPr>
          <w:p>
            <w:pPr>
              <w:pStyle w:val="52"/>
            </w:pPr>
            <w:r>
              <w:rPr>
                <w:rFonts w:hint="eastAsia"/>
              </w:rPr>
              <w:t>2022年-2023年</w:t>
            </w:r>
          </w:p>
        </w:tc>
        <w:tc>
          <w:tcPr>
            <w:tcW w:w="829" w:type="dxa"/>
            <w:shd w:val="clear" w:color="auto" w:fill="auto"/>
            <w:vAlign w:val="center"/>
          </w:tcPr>
          <w:p>
            <w:pPr>
              <w:pStyle w:val="52"/>
            </w:pPr>
            <w:r>
              <w:rPr>
                <w:rFonts w:hint="eastAsia"/>
              </w:rPr>
              <w:t>140</w:t>
            </w:r>
          </w:p>
        </w:tc>
        <w:tc>
          <w:tcPr>
            <w:tcW w:w="829" w:type="dxa"/>
            <w:shd w:val="clear" w:color="auto" w:fill="auto"/>
            <w:vAlign w:val="center"/>
          </w:tcPr>
          <w:p>
            <w:pPr>
              <w:pStyle w:val="52"/>
            </w:pPr>
            <w:r>
              <w:rPr>
                <w:rFonts w:hint="eastAsia"/>
              </w:rPr>
              <w:t>4695</w:t>
            </w:r>
          </w:p>
        </w:tc>
        <w:tc>
          <w:tcPr>
            <w:tcW w:w="656" w:type="dxa"/>
            <w:shd w:val="clear" w:color="auto" w:fill="auto"/>
            <w:vAlign w:val="center"/>
          </w:tcPr>
          <w:p>
            <w:pPr>
              <w:pStyle w:val="52"/>
            </w:pPr>
            <w:r>
              <w:rPr>
                <w:rFonts w:hint="eastAsia"/>
              </w:rPr>
              <w:t>4</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jc w:val="center"/>
        </w:trPr>
        <w:tc>
          <w:tcPr>
            <w:tcW w:w="426" w:type="dxa"/>
            <w:shd w:val="clear" w:color="auto" w:fill="auto"/>
            <w:vAlign w:val="center"/>
          </w:tcPr>
          <w:p>
            <w:pPr>
              <w:pStyle w:val="52"/>
            </w:pPr>
            <w:r>
              <w:rPr>
                <w:rFonts w:hint="eastAsia"/>
              </w:rPr>
              <w:t>8</w:t>
            </w:r>
          </w:p>
        </w:tc>
        <w:tc>
          <w:tcPr>
            <w:tcW w:w="1981" w:type="dxa"/>
            <w:shd w:val="clear" w:color="auto" w:fill="auto"/>
            <w:vAlign w:val="center"/>
          </w:tcPr>
          <w:p>
            <w:pPr>
              <w:pStyle w:val="52"/>
              <w:jc w:val="both"/>
            </w:pPr>
            <w:r>
              <w:rPr>
                <w:rFonts w:hint="eastAsia"/>
              </w:rPr>
              <w:t>元谋县黄瓜园世辉村美丽家园建设项目</w:t>
            </w:r>
          </w:p>
        </w:tc>
        <w:tc>
          <w:tcPr>
            <w:tcW w:w="3384" w:type="dxa"/>
            <w:shd w:val="clear" w:color="auto" w:fill="auto"/>
            <w:vAlign w:val="center"/>
          </w:tcPr>
          <w:p>
            <w:pPr>
              <w:pStyle w:val="52"/>
              <w:jc w:val="both"/>
            </w:pPr>
            <w:r>
              <w:rPr>
                <w:rFonts w:hint="eastAsia"/>
              </w:rPr>
              <w:t>老年活动中心活动场所地板硬化380平方米；凉亭2个；公共娱乐场所地板硬化200平方米；水冲式卫生公厕一个；绿色长廊150米。</w:t>
            </w:r>
          </w:p>
        </w:tc>
        <w:tc>
          <w:tcPr>
            <w:tcW w:w="967" w:type="dxa"/>
            <w:shd w:val="clear" w:color="auto" w:fill="auto"/>
            <w:vAlign w:val="center"/>
          </w:tcPr>
          <w:p>
            <w:pPr>
              <w:pStyle w:val="52"/>
            </w:pPr>
            <w:r>
              <w:rPr>
                <w:rFonts w:hint="eastAsia"/>
              </w:rPr>
              <w:t>2024年-2025年</w:t>
            </w:r>
          </w:p>
        </w:tc>
        <w:tc>
          <w:tcPr>
            <w:tcW w:w="829" w:type="dxa"/>
            <w:shd w:val="clear" w:color="auto" w:fill="auto"/>
            <w:vAlign w:val="center"/>
          </w:tcPr>
          <w:p>
            <w:pPr>
              <w:pStyle w:val="52"/>
            </w:pPr>
            <w:r>
              <w:rPr>
                <w:rFonts w:hint="eastAsia"/>
              </w:rPr>
              <w:t>140</w:t>
            </w:r>
          </w:p>
        </w:tc>
        <w:tc>
          <w:tcPr>
            <w:tcW w:w="829" w:type="dxa"/>
            <w:shd w:val="clear" w:color="auto" w:fill="auto"/>
            <w:vAlign w:val="center"/>
          </w:tcPr>
          <w:p>
            <w:pPr>
              <w:pStyle w:val="52"/>
            </w:pPr>
            <w:r>
              <w:rPr>
                <w:rFonts w:hint="eastAsia"/>
              </w:rPr>
              <w:t>4169</w:t>
            </w:r>
          </w:p>
        </w:tc>
        <w:tc>
          <w:tcPr>
            <w:tcW w:w="656" w:type="dxa"/>
            <w:shd w:val="clear" w:color="auto" w:fill="auto"/>
            <w:vAlign w:val="center"/>
          </w:tcPr>
          <w:p>
            <w:pPr>
              <w:pStyle w:val="52"/>
            </w:pPr>
            <w:r>
              <w:rPr>
                <w:rFonts w:hint="eastAsia"/>
              </w:rPr>
              <w:t>112</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jc w:val="center"/>
        </w:trPr>
        <w:tc>
          <w:tcPr>
            <w:tcW w:w="426" w:type="dxa"/>
            <w:shd w:val="clear" w:color="auto" w:fill="auto"/>
            <w:vAlign w:val="center"/>
          </w:tcPr>
          <w:p>
            <w:pPr>
              <w:pStyle w:val="52"/>
            </w:pPr>
            <w:r>
              <w:rPr>
                <w:rFonts w:hint="eastAsia"/>
              </w:rPr>
              <w:t>9</w:t>
            </w:r>
          </w:p>
        </w:tc>
        <w:tc>
          <w:tcPr>
            <w:tcW w:w="1981" w:type="dxa"/>
            <w:shd w:val="clear" w:color="auto" w:fill="auto"/>
            <w:vAlign w:val="center"/>
          </w:tcPr>
          <w:p>
            <w:pPr>
              <w:pStyle w:val="52"/>
              <w:jc w:val="both"/>
            </w:pPr>
            <w:r>
              <w:rPr>
                <w:rFonts w:hint="eastAsia"/>
              </w:rPr>
              <w:t>元谋县老城乡美丽家园建设项目</w:t>
            </w:r>
          </w:p>
        </w:tc>
        <w:tc>
          <w:tcPr>
            <w:tcW w:w="3384" w:type="dxa"/>
            <w:shd w:val="clear" w:color="auto" w:fill="auto"/>
            <w:vAlign w:val="center"/>
          </w:tcPr>
          <w:p>
            <w:pPr>
              <w:pStyle w:val="52"/>
              <w:jc w:val="both"/>
            </w:pPr>
            <w:r>
              <w:rPr>
                <w:rFonts w:hint="eastAsia"/>
              </w:rPr>
              <w:t>新建丙间村委会办公场所1幢，面积200平方米；公路梁子、小丙间、花园、河湾4个移民新村增加村内绿化，河湾村新建冲水式公厕及生活排水排污系统提升改造；库南村委会下猛连村小组1.5公里田间路面硬化，村庄亮化（50盏太阳能灯安装），新建红白理事会楼1处（600平方米），配套公测；购置垃圾箱20个。</w:t>
            </w:r>
          </w:p>
        </w:tc>
        <w:tc>
          <w:tcPr>
            <w:tcW w:w="967" w:type="dxa"/>
            <w:shd w:val="clear" w:color="auto" w:fill="auto"/>
            <w:vAlign w:val="center"/>
          </w:tcPr>
          <w:p>
            <w:pPr>
              <w:pStyle w:val="52"/>
            </w:pPr>
            <w:r>
              <w:rPr>
                <w:rFonts w:hint="eastAsia"/>
              </w:rPr>
              <w:t>2024年-2025年</w:t>
            </w:r>
          </w:p>
        </w:tc>
        <w:tc>
          <w:tcPr>
            <w:tcW w:w="829" w:type="dxa"/>
            <w:shd w:val="clear" w:color="auto" w:fill="auto"/>
            <w:vAlign w:val="center"/>
          </w:tcPr>
          <w:p>
            <w:pPr>
              <w:pStyle w:val="52"/>
            </w:pPr>
            <w:r>
              <w:rPr>
                <w:rFonts w:hint="eastAsia"/>
              </w:rPr>
              <w:t>306</w:t>
            </w:r>
          </w:p>
        </w:tc>
        <w:tc>
          <w:tcPr>
            <w:tcW w:w="829" w:type="dxa"/>
            <w:shd w:val="clear" w:color="auto" w:fill="auto"/>
            <w:vAlign w:val="center"/>
          </w:tcPr>
          <w:p>
            <w:pPr>
              <w:pStyle w:val="52"/>
            </w:pPr>
            <w:r>
              <w:rPr>
                <w:rFonts w:hint="eastAsia"/>
              </w:rPr>
              <w:t>10538</w:t>
            </w:r>
          </w:p>
        </w:tc>
        <w:tc>
          <w:tcPr>
            <w:tcW w:w="656" w:type="dxa"/>
            <w:shd w:val="clear" w:color="auto" w:fill="auto"/>
            <w:vAlign w:val="center"/>
          </w:tcPr>
          <w:p>
            <w:pPr>
              <w:pStyle w:val="52"/>
            </w:pPr>
            <w:r>
              <w:rPr>
                <w:rFonts w:hint="eastAsia"/>
              </w:rPr>
              <w:t>1117</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jc w:val="center"/>
        </w:trPr>
        <w:tc>
          <w:tcPr>
            <w:tcW w:w="426" w:type="dxa"/>
            <w:shd w:val="clear" w:color="auto" w:fill="auto"/>
            <w:vAlign w:val="center"/>
          </w:tcPr>
          <w:p>
            <w:pPr>
              <w:pStyle w:val="52"/>
            </w:pPr>
            <w:r>
              <w:rPr>
                <w:rFonts w:hint="eastAsia"/>
              </w:rPr>
              <w:t>10</w:t>
            </w:r>
          </w:p>
        </w:tc>
        <w:tc>
          <w:tcPr>
            <w:tcW w:w="1981" w:type="dxa"/>
            <w:shd w:val="clear" w:color="auto" w:fill="auto"/>
            <w:vAlign w:val="center"/>
          </w:tcPr>
          <w:p>
            <w:pPr>
              <w:pStyle w:val="52"/>
              <w:jc w:val="both"/>
            </w:pPr>
            <w:r>
              <w:rPr>
                <w:rFonts w:hint="eastAsia"/>
              </w:rPr>
              <w:t>元谋县元马镇摩诃社区摩诃村插花移民搬迁点田间沟路建设</w:t>
            </w:r>
          </w:p>
        </w:tc>
        <w:tc>
          <w:tcPr>
            <w:tcW w:w="3384" w:type="dxa"/>
            <w:shd w:val="clear" w:color="auto" w:fill="auto"/>
            <w:vAlign w:val="center"/>
          </w:tcPr>
          <w:p>
            <w:pPr>
              <w:pStyle w:val="52"/>
              <w:jc w:val="both"/>
            </w:pPr>
            <w:r>
              <w:rPr>
                <w:rFonts w:hint="eastAsia"/>
              </w:rPr>
              <w:t>改造田间路300m，改造水沟300m，支砌</w:t>
            </w:r>
            <w:r>
              <w:rPr>
                <w:rFonts w:hint="eastAsia"/>
                <w:lang w:eastAsia="zh-CN"/>
              </w:rPr>
              <w:t>挡墙</w:t>
            </w:r>
            <w:r>
              <w:rPr>
                <w:rFonts w:hint="eastAsia"/>
              </w:rPr>
              <w:t>200m，绿化进村道路。</w:t>
            </w:r>
          </w:p>
        </w:tc>
        <w:tc>
          <w:tcPr>
            <w:tcW w:w="967" w:type="dxa"/>
            <w:shd w:val="clear" w:color="auto" w:fill="auto"/>
            <w:vAlign w:val="center"/>
          </w:tcPr>
          <w:p>
            <w:pPr>
              <w:pStyle w:val="52"/>
            </w:pPr>
            <w:r>
              <w:rPr>
                <w:rFonts w:hint="eastAsia"/>
              </w:rPr>
              <w:t>2025年</w:t>
            </w:r>
          </w:p>
        </w:tc>
        <w:tc>
          <w:tcPr>
            <w:tcW w:w="829" w:type="dxa"/>
            <w:shd w:val="clear" w:color="auto" w:fill="auto"/>
            <w:vAlign w:val="center"/>
          </w:tcPr>
          <w:p>
            <w:pPr>
              <w:pStyle w:val="52"/>
            </w:pPr>
            <w:r>
              <w:rPr>
                <w:rFonts w:hint="eastAsia"/>
              </w:rPr>
              <w:t>82</w:t>
            </w:r>
          </w:p>
        </w:tc>
        <w:tc>
          <w:tcPr>
            <w:tcW w:w="829" w:type="dxa"/>
            <w:shd w:val="clear" w:color="auto" w:fill="auto"/>
            <w:vAlign w:val="center"/>
          </w:tcPr>
          <w:p>
            <w:pPr>
              <w:pStyle w:val="52"/>
            </w:pPr>
            <w:r>
              <w:rPr>
                <w:rFonts w:hint="eastAsia"/>
              </w:rPr>
              <w:t>5122</w:t>
            </w:r>
          </w:p>
        </w:tc>
        <w:tc>
          <w:tcPr>
            <w:tcW w:w="656" w:type="dxa"/>
            <w:shd w:val="clear" w:color="auto" w:fill="auto"/>
            <w:vAlign w:val="center"/>
          </w:tcPr>
          <w:p>
            <w:pPr>
              <w:pStyle w:val="52"/>
            </w:pPr>
            <w:r>
              <w:rPr>
                <w:rFonts w:hint="eastAsia"/>
              </w:rPr>
              <w:t>69</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jc w:val="center"/>
        </w:trPr>
        <w:tc>
          <w:tcPr>
            <w:tcW w:w="426" w:type="dxa"/>
            <w:shd w:val="clear" w:color="auto" w:fill="auto"/>
            <w:vAlign w:val="center"/>
          </w:tcPr>
          <w:p>
            <w:pPr>
              <w:pStyle w:val="52"/>
            </w:pPr>
            <w:r>
              <w:rPr>
                <w:rFonts w:hint="eastAsia"/>
              </w:rPr>
              <w:t>11</w:t>
            </w:r>
          </w:p>
        </w:tc>
        <w:tc>
          <w:tcPr>
            <w:tcW w:w="1981" w:type="dxa"/>
            <w:shd w:val="clear" w:color="auto" w:fill="auto"/>
            <w:vAlign w:val="center"/>
          </w:tcPr>
          <w:p>
            <w:pPr>
              <w:pStyle w:val="52"/>
              <w:jc w:val="both"/>
            </w:pPr>
            <w:r>
              <w:rPr>
                <w:rFonts w:hint="eastAsia"/>
              </w:rPr>
              <w:t>元谋县元马镇翠峰社区红卫村文化室建设项目</w:t>
            </w:r>
          </w:p>
        </w:tc>
        <w:tc>
          <w:tcPr>
            <w:tcW w:w="3384" w:type="dxa"/>
            <w:shd w:val="clear" w:color="auto" w:fill="auto"/>
            <w:vAlign w:val="center"/>
          </w:tcPr>
          <w:p>
            <w:pPr>
              <w:pStyle w:val="52"/>
              <w:jc w:val="both"/>
            </w:pPr>
            <w:r>
              <w:rPr>
                <w:rFonts w:hint="eastAsia"/>
              </w:rPr>
              <w:t>新建200m</w:t>
            </w:r>
            <w:r>
              <w:rPr>
                <w:rFonts w:hint="eastAsia"/>
                <w:vertAlign w:val="superscript"/>
              </w:rPr>
              <w:t>2</w:t>
            </w:r>
            <w:r>
              <w:rPr>
                <w:rFonts w:hint="eastAsia"/>
              </w:rPr>
              <w:t>文化室</w:t>
            </w:r>
          </w:p>
        </w:tc>
        <w:tc>
          <w:tcPr>
            <w:tcW w:w="967" w:type="dxa"/>
            <w:shd w:val="clear" w:color="auto" w:fill="auto"/>
            <w:vAlign w:val="center"/>
          </w:tcPr>
          <w:p>
            <w:pPr>
              <w:pStyle w:val="52"/>
            </w:pPr>
            <w:r>
              <w:rPr>
                <w:rFonts w:hint="eastAsia"/>
              </w:rPr>
              <w:t>2025年</w:t>
            </w:r>
          </w:p>
        </w:tc>
        <w:tc>
          <w:tcPr>
            <w:tcW w:w="829" w:type="dxa"/>
            <w:shd w:val="clear" w:color="auto" w:fill="auto"/>
            <w:vAlign w:val="center"/>
          </w:tcPr>
          <w:p>
            <w:pPr>
              <w:pStyle w:val="52"/>
            </w:pPr>
            <w:r>
              <w:rPr>
                <w:rFonts w:hint="eastAsia"/>
              </w:rPr>
              <w:t>40</w:t>
            </w:r>
          </w:p>
        </w:tc>
        <w:tc>
          <w:tcPr>
            <w:tcW w:w="829" w:type="dxa"/>
            <w:shd w:val="clear" w:color="auto" w:fill="auto"/>
            <w:vAlign w:val="center"/>
          </w:tcPr>
          <w:p>
            <w:pPr>
              <w:pStyle w:val="52"/>
            </w:pPr>
            <w:r>
              <w:rPr>
                <w:rFonts w:hint="eastAsia"/>
              </w:rPr>
              <w:t>4743</w:t>
            </w:r>
          </w:p>
        </w:tc>
        <w:tc>
          <w:tcPr>
            <w:tcW w:w="656" w:type="dxa"/>
            <w:shd w:val="clear" w:color="auto" w:fill="auto"/>
            <w:vAlign w:val="center"/>
          </w:tcPr>
          <w:p>
            <w:pPr>
              <w:pStyle w:val="52"/>
            </w:pPr>
            <w:r>
              <w:rPr>
                <w:rFonts w:hint="eastAsia"/>
              </w:rPr>
              <w:t>8</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jc w:val="center"/>
        </w:trPr>
        <w:tc>
          <w:tcPr>
            <w:tcW w:w="426" w:type="dxa"/>
            <w:shd w:val="clear" w:color="auto" w:fill="auto"/>
            <w:vAlign w:val="center"/>
          </w:tcPr>
          <w:p>
            <w:pPr>
              <w:pStyle w:val="52"/>
            </w:pPr>
            <w:r>
              <w:rPr>
                <w:rFonts w:hint="eastAsia"/>
              </w:rPr>
              <w:t>12</w:t>
            </w:r>
          </w:p>
        </w:tc>
        <w:tc>
          <w:tcPr>
            <w:tcW w:w="1981" w:type="dxa"/>
            <w:shd w:val="clear" w:color="auto" w:fill="auto"/>
            <w:vAlign w:val="center"/>
          </w:tcPr>
          <w:p>
            <w:pPr>
              <w:pStyle w:val="52"/>
              <w:jc w:val="both"/>
            </w:pPr>
            <w:r>
              <w:rPr>
                <w:rFonts w:hint="eastAsia"/>
              </w:rPr>
              <w:t>元谋县元马镇马大海村田间道路硬化项目</w:t>
            </w:r>
          </w:p>
        </w:tc>
        <w:tc>
          <w:tcPr>
            <w:tcW w:w="3384" w:type="dxa"/>
            <w:shd w:val="clear" w:color="auto" w:fill="auto"/>
            <w:vAlign w:val="center"/>
          </w:tcPr>
          <w:p>
            <w:pPr>
              <w:pStyle w:val="52"/>
              <w:jc w:val="both"/>
            </w:pPr>
            <w:r>
              <w:rPr>
                <w:rFonts w:hint="eastAsia"/>
              </w:rPr>
              <w:t>硬化田间道路800m</w:t>
            </w:r>
          </w:p>
        </w:tc>
        <w:tc>
          <w:tcPr>
            <w:tcW w:w="967" w:type="dxa"/>
            <w:shd w:val="clear" w:color="auto" w:fill="auto"/>
            <w:vAlign w:val="center"/>
          </w:tcPr>
          <w:p>
            <w:pPr>
              <w:pStyle w:val="52"/>
            </w:pPr>
            <w:r>
              <w:rPr>
                <w:rFonts w:hint="eastAsia"/>
              </w:rPr>
              <w:t>2025年</w:t>
            </w:r>
          </w:p>
        </w:tc>
        <w:tc>
          <w:tcPr>
            <w:tcW w:w="829" w:type="dxa"/>
            <w:shd w:val="clear" w:color="auto" w:fill="auto"/>
            <w:vAlign w:val="center"/>
          </w:tcPr>
          <w:p>
            <w:pPr>
              <w:pStyle w:val="52"/>
            </w:pPr>
            <w:r>
              <w:rPr>
                <w:rFonts w:hint="eastAsia"/>
              </w:rPr>
              <w:t>64</w:t>
            </w:r>
          </w:p>
        </w:tc>
        <w:tc>
          <w:tcPr>
            <w:tcW w:w="829" w:type="dxa"/>
            <w:shd w:val="clear" w:color="auto" w:fill="auto"/>
            <w:vAlign w:val="center"/>
          </w:tcPr>
          <w:p>
            <w:pPr>
              <w:pStyle w:val="52"/>
            </w:pPr>
            <w:r>
              <w:rPr>
                <w:rFonts w:hint="eastAsia"/>
              </w:rPr>
              <w:t>4199</w:t>
            </w:r>
          </w:p>
        </w:tc>
        <w:tc>
          <w:tcPr>
            <w:tcW w:w="656" w:type="dxa"/>
            <w:shd w:val="clear" w:color="auto" w:fill="auto"/>
            <w:vAlign w:val="center"/>
          </w:tcPr>
          <w:p>
            <w:pPr>
              <w:pStyle w:val="52"/>
            </w:pPr>
            <w:r>
              <w:rPr>
                <w:rFonts w:hint="eastAsia"/>
              </w:rPr>
              <w:t>1</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jc w:val="center"/>
        </w:trPr>
        <w:tc>
          <w:tcPr>
            <w:tcW w:w="426" w:type="dxa"/>
            <w:shd w:val="clear" w:color="auto" w:fill="auto"/>
            <w:vAlign w:val="center"/>
          </w:tcPr>
          <w:p>
            <w:pPr>
              <w:pStyle w:val="52"/>
            </w:pPr>
            <w:r>
              <w:rPr>
                <w:rFonts w:hint="eastAsia"/>
              </w:rPr>
              <w:t>13</w:t>
            </w:r>
          </w:p>
        </w:tc>
        <w:tc>
          <w:tcPr>
            <w:tcW w:w="1981" w:type="dxa"/>
            <w:shd w:val="clear" w:color="auto" w:fill="auto"/>
            <w:vAlign w:val="center"/>
          </w:tcPr>
          <w:p>
            <w:pPr>
              <w:pStyle w:val="52"/>
              <w:jc w:val="both"/>
            </w:pPr>
            <w:r>
              <w:rPr>
                <w:rFonts w:hint="eastAsia"/>
              </w:rPr>
              <w:t>元谋县物茂乡虎溪村委会塘角村抽水站工程</w:t>
            </w:r>
          </w:p>
        </w:tc>
        <w:tc>
          <w:tcPr>
            <w:tcW w:w="3384" w:type="dxa"/>
            <w:shd w:val="clear" w:color="auto" w:fill="auto"/>
            <w:vAlign w:val="center"/>
          </w:tcPr>
          <w:p>
            <w:pPr>
              <w:pStyle w:val="52"/>
              <w:jc w:val="both"/>
            </w:pPr>
            <w:r>
              <w:rPr>
                <w:rFonts w:hint="eastAsia"/>
              </w:rPr>
              <w:t>架设管道600m，新建输电线路及变压器1台，新建泵房1间，新安装水泵电机1套。</w:t>
            </w:r>
          </w:p>
        </w:tc>
        <w:tc>
          <w:tcPr>
            <w:tcW w:w="967" w:type="dxa"/>
            <w:shd w:val="clear" w:color="auto" w:fill="auto"/>
            <w:vAlign w:val="center"/>
          </w:tcPr>
          <w:p>
            <w:pPr>
              <w:pStyle w:val="52"/>
            </w:pPr>
            <w:r>
              <w:rPr>
                <w:rFonts w:hint="eastAsia"/>
              </w:rPr>
              <w:t>2025年</w:t>
            </w:r>
          </w:p>
        </w:tc>
        <w:tc>
          <w:tcPr>
            <w:tcW w:w="829" w:type="dxa"/>
            <w:shd w:val="clear" w:color="auto" w:fill="auto"/>
            <w:vAlign w:val="center"/>
          </w:tcPr>
          <w:p>
            <w:pPr>
              <w:pStyle w:val="52"/>
            </w:pPr>
            <w:r>
              <w:rPr>
                <w:rFonts w:hint="eastAsia"/>
              </w:rPr>
              <w:t>52</w:t>
            </w:r>
          </w:p>
        </w:tc>
        <w:tc>
          <w:tcPr>
            <w:tcW w:w="829" w:type="dxa"/>
            <w:shd w:val="clear" w:color="auto" w:fill="auto"/>
            <w:vAlign w:val="center"/>
          </w:tcPr>
          <w:p>
            <w:pPr>
              <w:pStyle w:val="52"/>
            </w:pPr>
            <w:r>
              <w:rPr>
                <w:rFonts w:hint="eastAsia"/>
              </w:rPr>
              <w:t>2410</w:t>
            </w:r>
          </w:p>
        </w:tc>
        <w:tc>
          <w:tcPr>
            <w:tcW w:w="656" w:type="dxa"/>
            <w:shd w:val="clear" w:color="auto" w:fill="auto"/>
            <w:vAlign w:val="center"/>
          </w:tcPr>
          <w:p>
            <w:pPr>
              <w:pStyle w:val="52"/>
            </w:pPr>
            <w:r>
              <w:rPr>
                <w:rFonts w:hint="eastAsia"/>
              </w:rPr>
              <w:t>19</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jc w:val="center"/>
        </w:trPr>
        <w:tc>
          <w:tcPr>
            <w:tcW w:w="426" w:type="dxa"/>
            <w:shd w:val="clear" w:color="auto" w:fill="auto"/>
            <w:vAlign w:val="center"/>
          </w:tcPr>
          <w:p>
            <w:pPr>
              <w:pStyle w:val="52"/>
            </w:pPr>
            <w:r>
              <w:rPr>
                <w:rFonts w:hint="eastAsia"/>
              </w:rPr>
              <w:t>14</w:t>
            </w:r>
          </w:p>
        </w:tc>
        <w:tc>
          <w:tcPr>
            <w:tcW w:w="1981" w:type="dxa"/>
            <w:shd w:val="clear" w:color="auto" w:fill="auto"/>
            <w:vAlign w:val="center"/>
          </w:tcPr>
          <w:p>
            <w:pPr>
              <w:pStyle w:val="52"/>
              <w:jc w:val="both"/>
            </w:pPr>
            <w:r>
              <w:rPr>
                <w:rFonts w:hint="eastAsia"/>
              </w:rPr>
              <w:t>元谋县平田乡新康村委会凤来村美丽家园建设项目</w:t>
            </w:r>
          </w:p>
        </w:tc>
        <w:tc>
          <w:tcPr>
            <w:tcW w:w="3384" w:type="dxa"/>
            <w:shd w:val="clear" w:color="auto" w:fill="auto"/>
            <w:vAlign w:val="center"/>
          </w:tcPr>
          <w:p>
            <w:pPr>
              <w:pStyle w:val="52"/>
              <w:jc w:val="both"/>
            </w:pPr>
            <w:r>
              <w:rPr>
                <w:rFonts w:hint="eastAsia"/>
              </w:rPr>
              <w:t>猪圈墙脚</w:t>
            </w:r>
            <w:r>
              <w:rPr>
                <w:rFonts w:hint="eastAsia"/>
                <w:lang w:eastAsia="zh-CN"/>
              </w:rPr>
              <w:t>挡墙</w:t>
            </w:r>
            <w:r>
              <w:rPr>
                <w:rFonts w:hint="eastAsia"/>
              </w:rPr>
              <w:t>0.2km、村内巷道硬化0.3km、外墙角排水沟及沟盖板0.2km、外墙角路面硬化0.26km，新建凉亭4座，配置健身器材；新建2000立方米蓄水池一座，架设ψ160mmPE管道600米，村内绿化800平方米，喷灌800平方米；养殖小区巷道硬化面积400平方米。</w:t>
            </w:r>
          </w:p>
        </w:tc>
        <w:tc>
          <w:tcPr>
            <w:tcW w:w="967" w:type="dxa"/>
            <w:shd w:val="clear" w:color="auto" w:fill="auto"/>
            <w:vAlign w:val="center"/>
          </w:tcPr>
          <w:p>
            <w:pPr>
              <w:pStyle w:val="52"/>
            </w:pPr>
            <w:r>
              <w:rPr>
                <w:rFonts w:hint="eastAsia"/>
              </w:rPr>
              <w:t>2021年-2023年</w:t>
            </w:r>
          </w:p>
        </w:tc>
        <w:tc>
          <w:tcPr>
            <w:tcW w:w="829" w:type="dxa"/>
            <w:shd w:val="clear" w:color="auto" w:fill="auto"/>
            <w:vAlign w:val="center"/>
          </w:tcPr>
          <w:p>
            <w:pPr>
              <w:pStyle w:val="52"/>
            </w:pPr>
            <w:r>
              <w:rPr>
                <w:rFonts w:hint="eastAsia"/>
              </w:rPr>
              <w:t>160</w:t>
            </w:r>
          </w:p>
        </w:tc>
        <w:tc>
          <w:tcPr>
            <w:tcW w:w="829" w:type="dxa"/>
            <w:shd w:val="clear" w:color="auto" w:fill="auto"/>
            <w:vAlign w:val="center"/>
          </w:tcPr>
          <w:p>
            <w:pPr>
              <w:pStyle w:val="52"/>
            </w:pPr>
            <w:r>
              <w:rPr>
                <w:rFonts w:hint="eastAsia"/>
              </w:rPr>
              <w:t>2593</w:t>
            </w:r>
          </w:p>
        </w:tc>
        <w:tc>
          <w:tcPr>
            <w:tcW w:w="656" w:type="dxa"/>
            <w:shd w:val="clear" w:color="auto" w:fill="auto"/>
            <w:vAlign w:val="center"/>
          </w:tcPr>
          <w:p>
            <w:pPr>
              <w:pStyle w:val="52"/>
            </w:pPr>
            <w:r>
              <w:rPr>
                <w:rFonts w:hint="eastAsia"/>
              </w:rPr>
              <w:t>198</w:t>
            </w:r>
          </w:p>
        </w:tc>
      </w:tr>
    </w:tbl>
    <w:p>
      <w:pPr>
        <w:ind w:firstLine="560" w:firstLineChars="200"/>
        <w:contextualSpacing/>
        <w:rPr>
          <w:rFonts w:ascii="Times New Roman" w:hAnsi="Times New Roman" w:cs="Times New Roman"/>
        </w:rPr>
      </w:pPr>
    </w:p>
    <w:p>
      <w:pPr>
        <w:ind w:firstLine="560" w:firstLineChars="200"/>
        <w:contextualSpacing/>
        <w:rPr>
          <w:rFonts w:ascii="Times New Roman" w:hAnsi="Times New Roman" w:cs="Times New Roman"/>
        </w:rPr>
        <w:sectPr>
          <w:pgSz w:w="11906" w:h="16838"/>
          <w:pgMar w:top="1616" w:right="1418" w:bottom="1616" w:left="1418" w:header="907" w:footer="1304" w:gutter="0"/>
          <w:cols w:space="425" w:num="1"/>
          <w:docGrid w:type="lines" w:linePitch="312" w:charSpace="0"/>
        </w:sectPr>
      </w:pPr>
    </w:p>
    <w:p>
      <w:pPr>
        <w:pStyle w:val="2"/>
        <w:rPr>
          <w:rFonts w:hAnsi="Times New Roman" w:cs="Times New Roman"/>
        </w:rPr>
      </w:pPr>
      <w:bookmarkStart w:id="60" w:name="_Toc86914835"/>
      <w:r>
        <w:rPr>
          <w:rFonts w:hAnsi="Times New Roman" w:cs="Times New Roman"/>
        </w:rPr>
        <w:t>6</w:t>
      </w:r>
      <w:r>
        <w:rPr>
          <w:rFonts w:hint="eastAsia" w:hAnsi="Times New Roman" w:cs="Times New Roman"/>
        </w:rPr>
        <w:t>　产业转型升级规划</w:t>
      </w:r>
      <w:bookmarkEnd w:id="60"/>
    </w:p>
    <w:p>
      <w:pPr>
        <w:pStyle w:val="43"/>
        <w:ind w:firstLine="560"/>
        <w:rPr>
          <w:lang w:bidi="en-US"/>
        </w:rPr>
      </w:pPr>
      <w:r>
        <w:rPr>
          <w:rFonts w:hint="eastAsia"/>
          <w:lang w:bidi="en-US"/>
        </w:rPr>
        <w:t>产业升级发展是</w:t>
      </w:r>
      <w:r>
        <w:rPr>
          <w:lang w:bidi="en-US"/>
        </w:rPr>
        <w:t>“</w:t>
      </w:r>
      <w:r>
        <w:rPr>
          <w:rFonts w:hint="eastAsia"/>
          <w:lang w:bidi="en-US"/>
        </w:rPr>
        <w:t>十四五</w:t>
      </w:r>
      <w:r>
        <w:rPr>
          <w:lang w:bidi="en-US"/>
        </w:rPr>
        <w:t>”</w:t>
      </w:r>
      <w:r>
        <w:rPr>
          <w:rFonts w:hint="eastAsia"/>
          <w:lang w:bidi="en-US"/>
        </w:rPr>
        <w:t>后扶的重点和基础。</w:t>
      </w:r>
      <w:r>
        <w:rPr>
          <w:lang w:bidi="en-US"/>
        </w:rPr>
        <w:t>“</w:t>
      </w:r>
      <w:r>
        <w:rPr>
          <w:rFonts w:hint="eastAsia"/>
          <w:lang w:bidi="en-US"/>
        </w:rPr>
        <w:t>十四五</w:t>
      </w:r>
      <w:r>
        <w:rPr>
          <w:lang w:bidi="en-US"/>
        </w:rPr>
        <w:t>”</w:t>
      </w:r>
      <w:r>
        <w:rPr>
          <w:rFonts w:hint="eastAsia"/>
          <w:lang w:bidi="en-US"/>
        </w:rPr>
        <w:t>期间元谋县移民后扶产业升级发展以促进移民增收致富、引导移民村积极融入全域旅游发展格局、形成</w:t>
      </w:r>
      <w:r>
        <w:rPr>
          <w:lang w:bidi="en-US"/>
        </w:rPr>
        <w:t>“</w:t>
      </w:r>
      <w:r>
        <w:rPr>
          <w:rFonts w:hint="eastAsia"/>
          <w:lang w:bidi="en-US"/>
        </w:rPr>
        <w:t>乡村旅游</w:t>
      </w:r>
      <w:r>
        <w:rPr>
          <w:lang w:bidi="en-US"/>
        </w:rPr>
        <w:t>+”</w:t>
      </w:r>
      <w:r>
        <w:rPr>
          <w:rFonts w:hint="eastAsia"/>
          <w:lang w:bidi="en-US"/>
        </w:rPr>
        <w:t>产业为主导的现代服务业体系为目的，依托昆大丽香黄金旅游线和金沙江、长江蓝色旅游带的辐射带动作用，扎实推进民族文化强州战略，积极探索民族文化资源向民族文化产业转化，着力培植和打造精品古镇、民族文化创意产业园、医药文化产业园、民族文艺精品演艺等各具特色的文化产业集群。深入挖掘延伸产业链，构建元谋县差异性发展、一二三产业联合驱动的特色产业体系。</w:t>
      </w:r>
    </w:p>
    <w:p>
      <w:pPr>
        <w:pStyle w:val="43"/>
        <w:ind w:firstLine="560"/>
        <w:rPr>
          <w:lang w:bidi="en-US"/>
        </w:rPr>
      </w:pPr>
      <w:r>
        <w:rPr>
          <w:rFonts w:hint="eastAsia"/>
          <w:lang w:bidi="en-US"/>
        </w:rPr>
        <w:t>重点扶持以高效种植业为特色的现代绿色农业，推动移民村农业转型提质；以特色生态食品、旅游产品加工业为特色的战略性新兴产业，促进工业与旅游业融合发展；以构建全县域乡村生态旅游产品为主线，积极拓展商贸物流、互联网信息等现代服务业充分发展。</w:t>
      </w:r>
    </w:p>
    <w:p>
      <w:pPr>
        <w:pStyle w:val="3"/>
        <w:rPr>
          <w:rFonts w:hAnsi="Times New Roman" w:cs="Times New Roman"/>
          <w:szCs w:val="36"/>
        </w:rPr>
      </w:pPr>
      <w:bookmarkStart w:id="61" w:name="_Toc86914836"/>
      <w:r>
        <w:rPr>
          <w:rFonts w:hAnsi="Times New Roman" w:cs="Times New Roman"/>
          <w:szCs w:val="36"/>
        </w:rPr>
        <w:t>6.1</w:t>
      </w:r>
      <w:r>
        <w:rPr>
          <w:rFonts w:hint="eastAsia" w:hAnsi="Times New Roman" w:cs="Times New Roman"/>
          <w:szCs w:val="36"/>
        </w:rPr>
        <w:t>　现状及存在的问题</w:t>
      </w:r>
      <w:bookmarkEnd w:id="61"/>
    </w:p>
    <w:p>
      <w:pPr>
        <w:pStyle w:val="54"/>
        <w:ind w:firstLine="560"/>
      </w:pPr>
      <w:r>
        <w:rPr>
          <w:rFonts w:hint="eastAsia"/>
        </w:rPr>
        <w:t>（</w:t>
      </w:r>
      <w:r>
        <w:t>1）产业发展思路不广</w:t>
      </w:r>
    </w:p>
    <w:p>
      <w:pPr>
        <w:pStyle w:val="43"/>
        <w:ind w:firstLine="560"/>
        <w:rPr>
          <w:lang w:bidi="en-US"/>
        </w:rPr>
      </w:pPr>
      <w:r>
        <w:rPr>
          <w:rFonts w:hint="eastAsia"/>
          <w:lang w:bidi="en-US"/>
        </w:rPr>
        <w:t>从事简单的体力劳动和劳务输出，发展种植业、养殖业，是大部分移民群众最主要的增收手段，只有少部分有技能、懂经营的移民通过自主就业取得较好的经营收入。同时，希望通过政府引导，依托当地资源优势，培育新型产业，增加移民稳定收入、实现移民稳定就业的方法也不多。</w:t>
      </w:r>
    </w:p>
    <w:p>
      <w:pPr>
        <w:pStyle w:val="43"/>
        <w:ind w:firstLine="560"/>
        <w:rPr>
          <w:lang w:bidi="en-US"/>
        </w:rPr>
      </w:pPr>
      <w:r>
        <w:rPr>
          <w:rFonts w:hint="eastAsia"/>
          <w:lang w:bidi="en-US"/>
        </w:rPr>
        <w:t>从整体来看，移民产业发展大多还处于摸索尝试阶段，存在办法不多、思路不广的问题，还未从根本上形成有利于产业快速发展、移民收入稳定增长的政策环境和长效机制，缺乏必要的产业支撑，没有大规模、功能全的专业市场，没有</w:t>
      </w:r>
      <w:r>
        <w:rPr>
          <w:rFonts w:hint="eastAsia"/>
          <w:lang w:val="en-US" w:eastAsia="zh-CN" w:bidi="en-US"/>
        </w:rPr>
        <w:t xml:space="preserve">  </w:t>
      </w:r>
      <w:r>
        <w:rPr>
          <w:rFonts w:hint="eastAsia"/>
          <w:lang w:bidi="en-US"/>
        </w:rPr>
        <w:t>具有辐射带动作用的产业化示范点和示范户，特色产业规模小而分散，规模效益始终得不到体现。移民产业发展还局限于以开展就业前的各种技能培训为主，没有切实以市场和移民导向为原则，移民群众的就业能力和就业水平总体不高。</w:t>
      </w:r>
    </w:p>
    <w:p>
      <w:pPr>
        <w:pStyle w:val="54"/>
        <w:ind w:firstLine="560"/>
      </w:pPr>
      <w:r>
        <w:rPr>
          <w:rFonts w:hint="eastAsia"/>
        </w:rPr>
        <w:t>（</w:t>
      </w:r>
      <w:r>
        <w:t>2）农业基础设施薄弱</w:t>
      </w:r>
    </w:p>
    <w:p>
      <w:pPr>
        <w:pStyle w:val="43"/>
        <w:ind w:firstLine="560"/>
        <w:rPr>
          <w:lang w:bidi="en-US"/>
        </w:rPr>
      </w:pPr>
      <w:r>
        <w:rPr>
          <w:rFonts w:hint="eastAsia"/>
          <w:lang w:bidi="en-US"/>
        </w:rPr>
        <w:t>大部分移民村经济收入总量小，年人均纯收入不高，产业结构单一，自主发展经济的能力不强，产业化水平较低，再加上受制于地形地貌等制约因素，农业基础设施薄弱，移民村农田水利、生产道路等生产配套设施及现代农业配套设施建设还比较滞后。随着产业结构的调整和优化转型升级，农业基础设施建设亟待加强。</w:t>
      </w:r>
    </w:p>
    <w:p>
      <w:pPr>
        <w:pStyle w:val="54"/>
        <w:ind w:firstLine="560"/>
      </w:pPr>
      <w:r>
        <w:rPr>
          <w:rFonts w:hint="eastAsia"/>
        </w:rPr>
        <w:t>（</w:t>
      </w:r>
      <w:r>
        <w:t>3）产业发展投入不足</w:t>
      </w:r>
    </w:p>
    <w:p>
      <w:pPr>
        <w:pStyle w:val="43"/>
        <w:ind w:firstLine="560"/>
        <w:rPr>
          <w:lang w:bidi="en-US"/>
        </w:rPr>
      </w:pPr>
      <w:r>
        <w:rPr>
          <w:rFonts w:hint="eastAsia"/>
          <w:lang w:bidi="en-US"/>
        </w:rPr>
        <w:t>产业发展前期投入较大，效益低，投资回收期长，与改善移民基础设施和基本公共服务设施、人居环境整治相比，移民群众接受程度相对较低。</w:t>
      </w:r>
    </w:p>
    <w:p>
      <w:pPr>
        <w:pStyle w:val="54"/>
        <w:ind w:firstLine="560"/>
      </w:pPr>
      <w:r>
        <w:rPr>
          <w:rFonts w:hint="eastAsia"/>
        </w:rPr>
        <w:t>（</w:t>
      </w:r>
      <w:r>
        <w:t>4）产业链条短</w:t>
      </w:r>
    </w:p>
    <w:p>
      <w:pPr>
        <w:pStyle w:val="43"/>
        <w:ind w:firstLine="560"/>
        <w:rPr>
          <w:lang w:bidi="en-US"/>
        </w:rPr>
      </w:pPr>
      <w:r>
        <w:rPr>
          <w:rFonts w:hint="eastAsia"/>
          <w:lang w:bidi="en-US"/>
        </w:rPr>
        <w:t>农产品销售渠道单一，受市场价格波动影响较大。缺乏成规模的农产品分拣、包装、冷链储存等加工产业。</w:t>
      </w:r>
    </w:p>
    <w:p>
      <w:pPr>
        <w:pStyle w:val="3"/>
        <w:rPr>
          <w:rFonts w:hAnsi="Times New Roman" w:cs="Times New Roman"/>
          <w:szCs w:val="36"/>
        </w:rPr>
      </w:pPr>
      <w:bookmarkStart w:id="62" w:name="_Toc86914837"/>
      <w:r>
        <w:rPr>
          <w:rFonts w:hAnsi="Times New Roman" w:cs="Times New Roman"/>
          <w:szCs w:val="36"/>
        </w:rPr>
        <w:t>6.2</w:t>
      </w:r>
      <w:r>
        <w:rPr>
          <w:rFonts w:hint="eastAsia" w:hAnsi="Times New Roman" w:cs="Times New Roman"/>
          <w:szCs w:val="36"/>
        </w:rPr>
        <w:t>　相关规划对移民村的定位</w:t>
      </w:r>
      <w:bookmarkEnd w:id="62"/>
    </w:p>
    <w:p>
      <w:pPr>
        <w:pStyle w:val="43"/>
        <w:ind w:firstLine="560"/>
        <w:rPr>
          <w:lang w:bidi="en-US"/>
        </w:rPr>
      </w:pPr>
      <w:r>
        <w:rPr>
          <w:rFonts w:hint="eastAsia"/>
          <w:lang w:bidi="en-US"/>
        </w:rPr>
        <w:t>规划按照移民村发展全域旅游，形成</w:t>
      </w:r>
      <w:r>
        <w:rPr>
          <w:lang w:bidi="en-US"/>
        </w:rPr>
        <w:t>“</w:t>
      </w:r>
      <w:r>
        <w:rPr>
          <w:rFonts w:hint="eastAsia"/>
          <w:lang w:bidi="en-US"/>
        </w:rPr>
        <w:t>乡村旅游</w:t>
      </w:r>
      <w:r>
        <w:rPr>
          <w:lang w:bidi="en-US"/>
        </w:rPr>
        <w:t>+”</w:t>
      </w:r>
      <w:r>
        <w:rPr>
          <w:rFonts w:hint="eastAsia"/>
          <w:lang w:bidi="en-US"/>
        </w:rPr>
        <w:t>产业为主导的现代服务业体系的目标。针对不同功能定位的移民村，在片区原有基础上，结合发展要素确定的主导产业，不具唯一性和排他性，每个移民村在规划实施过程中也可能会出现多种类型产业共存的情况。</w:t>
      </w:r>
    </w:p>
    <w:p>
      <w:pPr>
        <w:pStyle w:val="54"/>
        <w:ind w:firstLine="560"/>
      </w:pPr>
      <w:r>
        <w:rPr>
          <w:rFonts w:hint="eastAsia"/>
        </w:rPr>
        <w:t>1）</w:t>
      </w:r>
      <w:r>
        <w:t>发展特色农业，建设现代农业基地</w:t>
      </w:r>
    </w:p>
    <w:p>
      <w:pPr>
        <w:pStyle w:val="43"/>
        <w:ind w:firstLine="560"/>
        <w:rPr>
          <w:lang w:bidi="en-US"/>
        </w:rPr>
      </w:pPr>
      <w:r>
        <w:rPr>
          <w:rFonts w:hint="eastAsia"/>
          <w:lang w:bidi="en-US"/>
        </w:rPr>
        <w:t>按照因地制宜、经济高效、环境友好、资源节约、农民自愿、积极引导原则，合理调整和优化农业种植结构，进行功能分区和合理布局，努力实现生态产业的区域化、专业化布局。</w:t>
      </w:r>
    </w:p>
    <w:p>
      <w:pPr>
        <w:pStyle w:val="43"/>
        <w:ind w:firstLine="560"/>
        <w:rPr>
          <w:lang w:bidi="en-US"/>
        </w:rPr>
      </w:pPr>
      <w:r>
        <w:rPr>
          <w:rFonts w:hint="eastAsia"/>
          <w:lang w:bidi="en-US"/>
        </w:rPr>
        <w:t>积极发展特色种植业，围绕粮食蔬菜种植、林果种植、中药材种植、畜禽养殖、生态养殖等，培育具有自主知识产权的优良新品种，加快新品种、新技术引进、消化吸收、再创新。规划充分考虑不同片区产业发展的优势资源和制约瓶颈，分区施策、分类引导。</w:t>
      </w:r>
    </w:p>
    <w:p>
      <w:pPr>
        <w:pStyle w:val="54"/>
        <w:ind w:firstLine="560"/>
      </w:pPr>
      <w:r>
        <w:rPr>
          <w:rFonts w:hint="eastAsia"/>
        </w:rPr>
        <w:t>2）</w:t>
      </w:r>
      <w:r>
        <w:t>延长产业链条，壮大移民集体经济</w:t>
      </w:r>
    </w:p>
    <w:p>
      <w:pPr>
        <w:pStyle w:val="43"/>
        <w:ind w:firstLine="560"/>
        <w:rPr>
          <w:lang w:bidi="en-US"/>
        </w:rPr>
      </w:pPr>
      <w:r>
        <w:rPr>
          <w:rFonts w:hint="eastAsia"/>
          <w:lang w:bidi="en-US"/>
        </w:rPr>
        <w:t>通过农业加工流通业，大力发展农产品加工、分拣包装、冷藏保鲜、仓储运输等二三产业，延伸产业链。积极探索移民加工车间、物业经济等产业，丰富移民经济收入来源，壮大移民集体经济。</w:t>
      </w:r>
    </w:p>
    <w:p>
      <w:pPr>
        <w:pStyle w:val="54"/>
        <w:ind w:firstLine="560"/>
      </w:pPr>
      <w:r>
        <w:rPr>
          <w:rFonts w:hint="eastAsia"/>
        </w:rPr>
        <w:t>3）</w:t>
      </w:r>
      <w:r>
        <w:t>发展观光农业，助推全域旅游产业发展</w:t>
      </w:r>
    </w:p>
    <w:p>
      <w:pPr>
        <w:pStyle w:val="43"/>
        <w:ind w:firstLine="560"/>
        <w:rPr>
          <w:highlight w:val="yellow"/>
          <w:lang w:bidi="en-US"/>
        </w:rPr>
      </w:pPr>
      <w:r>
        <w:rPr>
          <w:rFonts w:hint="eastAsia"/>
          <w:lang w:bidi="en-US"/>
        </w:rPr>
        <w:t>探索“旅游</w:t>
      </w:r>
      <w:r>
        <w:rPr>
          <w:lang w:bidi="en-US"/>
        </w:rPr>
        <w:t>+农业”新业态，发挥移民村自然的峡江风光景观、光热资源及土地资源丰富的优势，以打造生态优质热区农产品和承载区内景区游客多元体验为目标，建立环境优美、生态良好、技术先进、生产力水平高，具有广泛示范效应和带动作用的新型高效生态农业模式。寓农业于生态有机理念，寓旅游于有机生态农业之中，项目生态循环、有机农业、乡村田园式体验观光紧密结合。</w:t>
      </w:r>
    </w:p>
    <w:p>
      <w:pPr>
        <w:pStyle w:val="43"/>
        <w:ind w:firstLine="560"/>
        <w:rPr>
          <w:lang w:bidi="en-US"/>
        </w:rPr>
      </w:pPr>
      <w:r>
        <w:rPr>
          <w:rFonts w:hint="eastAsia"/>
          <w:lang w:bidi="en-US"/>
        </w:rPr>
        <w:t>着力推动建设农村旅游新社区，深入开展“美丽乡村”旅游建设，加快开发古镇古村旅游产品，推动优化农村景观和人居环境，持续完善乡村旅游公共服务体系，推进乡村旅游社区功能提升和服务创新，支持旅游乡村延伸开发其它类型休闲旅游产品。</w:t>
      </w:r>
    </w:p>
    <w:p>
      <w:pPr>
        <w:pStyle w:val="54"/>
        <w:ind w:firstLine="560"/>
      </w:pPr>
      <w:r>
        <w:rPr>
          <w:rFonts w:hint="eastAsia"/>
        </w:rPr>
        <w:t>4）</w:t>
      </w:r>
      <w:r>
        <w:t>以</w:t>
      </w:r>
      <w:r>
        <w:rPr>
          <w:rFonts w:hint="eastAsia"/>
        </w:rPr>
        <w:t>民俗</w:t>
      </w:r>
      <w:r>
        <w:t>文化引领扶持项目</w:t>
      </w:r>
    </w:p>
    <w:p>
      <w:pPr>
        <w:pStyle w:val="43"/>
        <w:ind w:firstLine="560"/>
        <w:rPr>
          <w:lang w:bidi="en-US"/>
        </w:rPr>
      </w:pPr>
      <w:r>
        <w:rPr>
          <w:lang w:bidi="en-US"/>
        </w:rPr>
        <w:t>深入挖掘傣族、彝族、傈僳族等风俗习惯各具特色、民族节庆丰富多彩的多民族特色文化产业，结合移民村内多民族和谐共融的特点发展不同类型的文化产业，包括民族传统舞蹈、传统民俗、传统医药、民间文学等，作为提升元谋移民村文化软实力的补充，通过不同类型的产业业态提升移民村的发展动能，通过发展文化产业提升旅游业水平，促进移民的增收和移民村的持续发展。</w:t>
      </w:r>
    </w:p>
    <w:p>
      <w:pPr>
        <w:pStyle w:val="3"/>
        <w:rPr>
          <w:rFonts w:hAnsi="Times New Roman" w:cs="Times New Roman"/>
          <w:szCs w:val="36"/>
        </w:rPr>
      </w:pPr>
      <w:bookmarkStart w:id="63" w:name="_Toc86914838"/>
      <w:r>
        <w:rPr>
          <w:rFonts w:hAnsi="Times New Roman" w:cs="Times New Roman"/>
          <w:szCs w:val="36"/>
        </w:rPr>
        <w:t>6.3</w:t>
      </w:r>
      <w:r>
        <w:rPr>
          <w:rFonts w:hint="eastAsia" w:hAnsi="Times New Roman" w:cs="Times New Roman"/>
          <w:szCs w:val="36"/>
        </w:rPr>
        <w:t>　规划原则</w:t>
      </w:r>
      <w:bookmarkEnd w:id="63"/>
    </w:p>
    <w:p>
      <w:pPr>
        <w:pStyle w:val="54"/>
        <w:ind w:firstLine="560"/>
      </w:pPr>
      <w:r>
        <w:rPr>
          <w:rFonts w:hint="eastAsia"/>
        </w:rPr>
        <w:t>（</w:t>
      </w:r>
      <w:r>
        <w:t>1</w:t>
      </w:r>
      <w:r>
        <w:rPr>
          <w:rFonts w:hint="eastAsia"/>
        </w:rPr>
        <w:t>）移民收益原则</w:t>
      </w:r>
    </w:p>
    <w:p>
      <w:pPr>
        <w:pStyle w:val="43"/>
        <w:ind w:firstLine="560"/>
        <w:rPr>
          <w:lang w:bidi="en-US"/>
        </w:rPr>
      </w:pPr>
      <w:r>
        <w:rPr>
          <w:rFonts w:hint="eastAsia"/>
          <w:lang w:bidi="en-US"/>
        </w:rPr>
        <w:t>把移民能否受益、扶持资金收益率高低作为产业后期扶持的依据，综合评判产业项目的收益周期、分配方式，选择移民能参与、能主导、能发展的产业作为重点扶持对象，通过后期扶持资金引导社会资本投入，拓宽移民在产业后期扶持中的收益渠道，切实增加移民收入。</w:t>
      </w:r>
    </w:p>
    <w:p>
      <w:pPr>
        <w:pStyle w:val="54"/>
        <w:ind w:firstLine="560"/>
      </w:pPr>
      <w:r>
        <w:rPr>
          <w:rFonts w:hint="eastAsia"/>
        </w:rPr>
        <w:t>（</w:t>
      </w:r>
      <w:r>
        <w:t>2</w:t>
      </w:r>
      <w:r>
        <w:rPr>
          <w:rFonts w:hint="eastAsia"/>
        </w:rPr>
        <w:t>）绿色发展原则</w:t>
      </w:r>
    </w:p>
    <w:p>
      <w:pPr>
        <w:pStyle w:val="43"/>
        <w:ind w:firstLine="560"/>
        <w:rPr>
          <w:lang w:bidi="en-US"/>
        </w:rPr>
      </w:pPr>
      <w:r>
        <w:rPr>
          <w:rFonts w:hint="eastAsia"/>
          <w:lang w:bidi="en-US"/>
        </w:rPr>
        <w:t>山水资源以及文化资源是元谋县库区移民村最大的潜力、最好的财富、最硬的品牌。在元谋县全域旅游的大背景下，突出绿色发展，形成“乡村旅游</w:t>
      </w:r>
      <w:r>
        <w:rPr>
          <w:lang w:bidi="en-US"/>
        </w:rPr>
        <w:t>+</w:t>
      </w:r>
      <w:r>
        <w:rPr>
          <w:rFonts w:hint="eastAsia"/>
          <w:lang w:bidi="en-US"/>
        </w:rPr>
        <w:t>村系列产业，利用生态赋能传统产业，发展绿色经济，提升产业规模，形成生态特色、绿色品牌的产业载体、</w:t>
      </w:r>
    </w:p>
    <w:p>
      <w:pPr>
        <w:pStyle w:val="54"/>
        <w:ind w:firstLine="560"/>
      </w:pPr>
      <w:r>
        <w:rPr>
          <w:rFonts w:hint="eastAsia"/>
        </w:rPr>
        <w:t>（</w:t>
      </w:r>
      <w:r>
        <w:t>3</w:t>
      </w:r>
      <w:r>
        <w:rPr>
          <w:rFonts w:hint="eastAsia"/>
        </w:rPr>
        <w:t>）重点带动原则</w:t>
      </w:r>
    </w:p>
    <w:p>
      <w:pPr>
        <w:pStyle w:val="43"/>
        <w:ind w:firstLine="560"/>
        <w:rPr>
          <w:lang w:bidi="en-US"/>
        </w:rPr>
      </w:pPr>
      <w:r>
        <w:rPr>
          <w:rFonts w:hint="eastAsia"/>
          <w:lang w:bidi="en-US"/>
        </w:rPr>
        <w:t>产业项目选择避免贪大求全，选择有一定基础和前景的产业进行投入，重点解决移民村产业发展的突出问题，通过重大项目的投入，带动区域移民的整体产业经济，提高后期扶持资金的使用效率。</w:t>
      </w:r>
    </w:p>
    <w:p>
      <w:pPr>
        <w:pStyle w:val="3"/>
        <w:rPr>
          <w:rFonts w:hAnsi="Times New Roman" w:cs="Times New Roman"/>
          <w:szCs w:val="36"/>
        </w:rPr>
      </w:pPr>
      <w:bookmarkStart w:id="64" w:name="_Toc86914839"/>
      <w:r>
        <w:rPr>
          <w:rFonts w:hAnsi="Times New Roman" w:cs="Times New Roman"/>
          <w:szCs w:val="36"/>
        </w:rPr>
        <w:t>6.4</w:t>
      </w:r>
      <w:r>
        <w:rPr>
          <w:rFonts w:hint="eastAsia" w:hAnsi="Times New Roman" w:cs="Times New Roman"/>
          <w:szCs w:val="36"/>
        </w:rPr>
        <w:t>　扶持对象</w:t>
      </w:r>
      <w:bookmarkEnd w:id="64"/>
    </w:p>
    <w:p>
      <w:pPr>
        <w:pStyle w:val="43"/>
        <w:ind w:firstLine="560"/>
        <w:rPr>
          <w:lang w:bidi="en-US"/>
        </w:rPr>
      </w:pPr>
      <w:r>
        <w:rPr>
          <w:rFonts w:hint="eastAsia"/>
          <w:lang w:bidi="en-US"/>
        </w:rPr>
        <w:t>元谋县“十四五”期间产业转型升级规划涉及全县8个乡镇50个村（社区）。</w:t>
      </w:r>
    </w:p>
    <w:p>
      <w:pPr>
        <w:pStyle w:val="3"/>
        <w:rPr>
          <w:rFonts w:hAnsi="Times New Roman" w:cs="Times New Roman"/>
          <w:szCs w:val="36"/>
        </w:rPr>
      </w:pPr>
      <w:bookmarkStart w:id="65" w:name="_Toc86914840"/>
      <w:r>
        <w:rPr>
          <w:rFonts w:hAnsi="Times New Roman" w:cs="Times New Roman"/>
          <w:szCs w:val="36"/>
        </w:rPr>
        <w:t>6.5</w:t>
      </w:r>
      <w:r>
        <w:rPr>
          <w:rFonts w:hint="eastAsia" w:hAnsi="Times New Roman" w:cs="Times New Roman"/>
          <w:szCs w:val="36"/>
        </w:rPr>
        <w:t>　扶持方向及内容</w:t>
      </w:r>
      <w:bookmarkEnd w:id="65"/>
    </w:p>
    <w:p>
      <w:pPr>
        <w:pStyle w:val="43"/>
        <w:ind w:firstLine="560"/>
        <w:rPr>
          <w:lang w:bidi="en-US"/>
        </w:rPr>
      </w:pPr>
      <w:r>
        <w:rPr>
          <w:rFonts w:hint="eastAsia"/>
          <w:lang w:bidi="en-US"/>
        </w:rPr>
        <w:t>根据后期扶持项目资金的使用管理办法，结合元谋县移民村发展特点，主要选择以下发展内容：</w:t>
      </w:r>
    </w:p>
    <w:p>
      <w:pPr>
        <w:pStyle w:val="54"/>
        <w:ind w:firstLine="560"/>
      </w:pPr>
      <w:r>
        <w:t>1</w:t>
      </w:r>
      <w:r>
        <w:rPr>
          <w:rFonts w:hint="eastAsia"/>
        </w:rPr>
        <w:t>）农业基础设施建设</w:t>
      </w:r>
    </w:p>
    <w:p>
      <w:pPr>
        <w:pStyle w:val="43"/>
        <w:ind w:firstLine="560"/>
        <w:rPr>
          <w:lang w:bidi="en-US"/>
        </w:rPr>
      </w:pPr>
      <w:r>
        <w:rPr>
          <w:lang w:bidi="en-US"/>
        </w:rPr>
        <w:t>通过提升农业基础设施建设，促进移民村的农业现代化发展。</w:t>
      </w:r>
      <w:r>
        <w:rPr>
          <w:rFonts w:hint="eastAsia"/>
          <w:lang w:bidi="en-US"/>
        </w:rPr>
        <w:t>包含农田水利设施建设、生产道路建设，根据农业发展的基础条件，结合移民村的农业发展定位，规划相应的基础设施项目。</w:t>
      </w:r>
      <w:r>
        <w:rPr>
          <w:lang w:bidi="en-US"/>
        </w:rPr>
        <w:t>对移民村现状农业基础设施薄弱的村庄建设农业灌溉机井、渠道、塘堰，整治现有老化水利设施、坑塘水面，生产道路改善等</w:t>
      </w:r>
      <w:r>
        <w:rPr>
          <w:rFonts w:hint="eastAsia"/>
          <w:lang w:bidi="en-US"/>
        </w:rPr>
        <w:t>。</w:t>
      </w:r>
    </w:p>
    <w:p>
      <w:pPr>
        <w:pStyle w:val="54"/>
        <w:ind w:firstLine="560"/>
      </w:pPr>
      <w:r>
        <w:t>2</w:t>
      </w:r>
      <w:r>
        <w:rPr>
          <w:rFonts w:hint="eastAsia"/>
        </w:rPr>
        <w:t>）现代种植业</w:t>
      </w:r>
    </w:p>
    <w:p>
      <w:pPr>
        <w:pStyle w:val="43"/>
        <w:ind w:firstLine="560"/>
        <w:rPr>
          <w:lang w:bidi="en-US"/>
        </w:rPr>
      </w:pPr>
      <w:r>
        <w:rPr>
          <w:rFonts w:hint="eastAsia"/>
          <w:lang w:bidi="en-US"/>
        </w:rPr>
        <w:t>适应市场需求，以产业化经营模式，种植业重点发展特色花卉、林果种植、蔬菜等种植。</w:t>
      </w:r>
    </w:p>
    <w:p>
      <w:pPr>
        <w:pStyle w:val="54"/>
        <w:ind w:firstLine="560"/>
      </w:pPr>
      <w:r>
        <w:t>3</w:t>
      </w:r>
      <w:r>
        <w:rPr>
          <w:rFonts w:hint="eastAsia"/>
        </w:rPr>
        <w:t>）乡土特色产业</w:t>
      </w:r>
    </w:p>
    <w:p>
      <w:pPr>
        <w:pStyle w:val="43"/>
        <w:ind w:firstLine="560"/>
        <w:rPr>
          <w:lang w:bidi="en-US"/>
        </w:rPr>
      </w:pPr>
      <w:r>
        <w:rPr>
          <w:rFonts w:hint="eastAsia"/>
          <w:lang w:bidi="en-US"/>
        </w:rPr>
        <w:t>以市场为导向，以科技</w:t>
      </w:r>
      <w:r>
        <w:rPr>
          <w:lang w:bidi="en-US"/>
        </w:rPr>
        <w:t>创新为支撑，引进和研发相结合，通过构建覆盖全产业链关键环节的技术创新体系，重点发展高产值及高附加值的特色花卉苗木种植，并在区域中心位置配套花卉初处理中心。培育具有地域特征和代表传统特色的优势品种，也可借鉴先进花卉培育经验，培育高端花卉品种，种植品种根据市场供需关系和种植条件调整，以牡丹花种植及新品种培育为重点，其他鲜切花如芍药、非洲菊、百合、薰衣草等共同发展，打造“元谋牡丹”特色名片，与云南省花卉市场对接。发挥近城区移民村近城区位优势、交通条件优越性，重点发展包括花卉品种种植、种苗繁育、成品栽培、采后处理、市场营销等花卉全产业链条，积极主动融入“云花”产业构建，并结合花卉观光发展乡村旅游，打造集花卉产销、科研科普、观光旅游、餐饮娱乐、康氧运动于一体的综合产业园，根据产业园的定位策划相应项目，并配套建设相应设施</w:t>
      </w:r>
      <w:r>
        <w:rPr>
          <w:rFonts w:hint="eastAsia"/>
          <w:lang w:bidi="en-US"/>
        </w:rPr>
        <w:t>。</w:t>
      </w:r>
    </w:p>
    <w:p>
      <w:pPr>
        <w:pStyle w:val="54"/>
        <w:ind w:firstLine="560"/>
      </w:pPr>
      <w:r>
        <w:rPr>
          <w:rFonts w:hint="eastAsia"/>
        </w:rPr>
        <w:t>4）农产品加工流通业</w:t>
      </w:r>
    </w:p>
    <w:p>
      <w:pPr>
        <w:pStyle w:val="43"/>
        <w:ind w:firstLine="560"/>
        <w:rPr>
          <w:lang w:bidi="en-US"/>
        </w:rPr>
      </w:pPr>
      <w:r>
        <w:rPr>
          <w:rFonts w:hint="eastAsia"/>
          <w:lang w:bidi="en-US"/>
        </w:rPr>
        <w:t>依托现状农业发展基础，针对移民村现状林果储存难问题，规划延伸农业发展链条，通过建立农产品冷藏库及加工车间，对农产品的冷藏、初加工处理，提升农产品附加值。</w:t>
      </w:r>
    </w:p>
    <w:p>
      <w:pPr>
        <w:pStyle w:val="43"/>
        <w:ind w:firstLine="560"/>
        <w:rPr>
          <w:lang w:bidi="en-US"/>
        </w:rPr>
      </w:pPr>
      <w:r>
        <w:rPr>
          <w:rFonts w:hint="eastAsia"/>
          <w:lang w:bidi="en-US"/>
        </w:rPr>
        <w:t>移民村现状缺乏专门物流仓储用地，对产业的持续发展存在一定的制约，根据产业发展的需要，在交通区位条件较好的移民村，规划专业的商贸物流场地，满足农副产品、旅游产品加工、中转、运输的需求。</w:t>
      </w:r>
    </w:p>
    <w:p>
      <w:pPr>
        <w:pStyle w:val="54"/>
        <w:ind w:firstLine="560"/>
      </w:pPr>
      <w:r>
        <w:rPr>
          <w:rFonts w:hint="eastAsia"/>
        </w:rPr>
        <w:t>5）乡村休闲旅游业</w:t>
      </w:r>
    </w:p>
    <w:p>
      <w:pPr>
        <w:pStyle w:val="43"/>
        <w:ind w:firstLine="560"/>
        <w:rPr>
          <w:lang w:bidi="en-US"/>
        </w:rPr>
      </w:pPr>
      <w:r>
        <w:rPr>
          <w:rFonts w:hint="eastAsia"/>
          <w:lang w:bidi="en-US"/>
        </w:rPr>
        <w:t>（</w:t>
      </w:r>
      <w:r>
        <w:rPr>
          <w:lang w:bidi="en-US"/>
        </w:rPr>
        <w:t>1</w:t>
      </w:r>
      <w:r>
        <w:rPr>
          <w:rFonts w:hint="eastAsia"/>
          <w:lang w:bidi="en-US"/>
        </w:rPr>
        <w:t>）康养休闲中心</w:t>
      </w:r>
    </w:p>
    <w:p>
      <w:pPr>
        <w:pStyle w:val="43"/>
        <w:ind w:firstLine="560"/>
        <w:rPr>
          <w:lang w:bidi="en-US"/>
        </w:rPr>
      </w:pPr>
      <w:r>
        <w:rPr>
          <w:rFonts w:hint="eastAsia"/>
          <w:lang w:bidi="en-US"/>
        </w:rPr>
        <w:t>根据发展全域旅游的思路，重点打造移民村旅游区，结合旅游设施的配置要求，在移民村形成完整的旅游服务设施网络。</w:t>
      </w:r>
    </w:p>
    <w:p>
      <w:pPr>
        <w:pStyle w:val="43"/>
        <w:ind w:firstLine="560"/>
        <w:rPr>
          <w:lang w:bidi="en-US"/>
        </w:rPr>
      </w:pPr>
      <w:r>
        <w:rPr>
          <w:rFonts w:hint="eastAsia"/>
          <w:lang w:bidi="en-US"/>
        </w:rPr>
        <w:t>（</w:t>
      </w:r>
      <w:r>
        <w:rPr>
          <w:lang w:bidi="en-US"/>
        </w:rPr>
        <w:t>2</w:t>
      </w:r>
      <w:r>
        <w:rPr>
          <w:rFonts w:hint="eastAsia"/>
          <w:lang w:bidi="en-US"/>
        </w:rPr>
        <w:t>）旅游配套设施</w:t>
      </w:r>
    </w:p>
    <w:p>
      <w:pPr>
        <w:pStyle w:val="43"/>
        <w:ind w:firstLine="560"/>
        <w:rPr>
          <w:lang w:bidi="en-US"/>
        </w:rPr>
      </w:pPr>
      <w:r>
        <w:rPr>
          <w:rFonts w:hint="eastAsia"/>
          <w:lang w:bidi="en-US"/>
        </w:rPr>
        <w:t>按照景区化打造移民村的目标，在旅游特色型重点移民村规划统一风格的标识、标牌，旅游宣传语，提升乡村旅游氛围，完善旅游产品设计、旅游符号挖掘推广、旅游线路策划、旅游交通换乘等内容，并配套其他必要的旅游设施，包括山水休闲、特色园区等旅游产品。</w:t>
      </w:r>
    </w:p>
    <w:p>
      <w:pPr>
        <w:pStyle w:val="54"/>
        <w:ind w:firstLine="560"/>
      </w:pPr>
      <w:r>
        <w:rPr>
          <w:rFonts w:hint="eastAsia"/>
        </w:rPr>
        <w:t>6）乡村新型服务业</w:t>
      </w:r>
    </w:p>
    <w:p>
      <w:pPr>
        <w:pStyle w:val="43"/>
        <w:ind w:firstLine="560"/>
        <w:rPr>
          <w:lang w:bidi="en-US"/>
        </w:rPr>
      </w:pPr>
      <w:r>
        <w:rPr>
          <w:rFonts w:hint="eastAsia"/>
          <w:lang w:bidi="en-US"/>
        </w:rPr>
        <w:t>推进“互联网</w:t>
      </w:r>
      <w:r>
        <w:rPr>
          <w:lang w:bidi="en-US"/>
        </w:rPr>
        <w:t>+”</w:t>
      </w:r>
      <w:r>
        <w:rPr>
          <w:rFonts w:hint="eastAsia"/>
          <w:lang w:bidi="en-US"/>
        </w:rPr>
        <w:t>现代农业，支持打造涉农电子商务交易综合服务平台。深入推进信息进村入户，实施</w:t>
      </w:r>
      <w:r>
        <w:rPr>
          <w:lang w:bidi="en-US"/>
        </w:rPr>
        <w:t>“</w:t>
      </w:r>
      <w:r>
        <w:rPr>
          <w:rFonts w:hint="eastAsia"/>
          <w:lang w:bidi="en-US"/>
        </w:rPr>
        <w:t>互联网</w:t>
      </w:r>
      <w:r>
        <w:rPr>
          <w:lang w:bidi="en-US"/>
        </w:rPr>
        <w:t>+”</w:t>
      </w:r>
      <w:r>
        <w:rPr>
          <w:rFonts w:hint="eastAsia"/>
          <w:lang w:bidi="en-US"/>
        </w:rPr>
        <w:t>农产品出村进城工程，拓宽市场流通渠道，提高产品商贸物流流通率。</w:t>
      </w:r>
    </w:p>
    <w:p>
      <w:pPr>
        <w:pStyle w:val="43"/>
        <w:ind w:firstLine="560"/>
        <w:rPr>
          <w:lang w:bidi="en-US"/>
        </w:rPr>
      </w:pPr>
      <w:r>
        <w:rPr>
          <w:rFonts w:hint="eastAsia"/>
          <w:lang w:bidi="en-US"/>
        </w:rPr>
        <w:t>根据产业发展内容，对产业转型升级布局如下：</w:t>
      </w:r>
    </w:p>
    <w:p>
      <w:pPr>
        <w:pStyle w:val="54"/>
        <w:ind w:firstLine="560"/>
      </w:pPr>
      <w:r>
        <w:rPr>
          <w:rFonts w:hint="eastAsia"/>
        </w:rPr>
        <w:t>7）加强农业设施配套建设、夯实农业基础</w:t>
      </w:r>
    </w:p>
    <w:p>
      <w:pPr>
        <w:pStyle w:val="43"/>
        <w:ind w:firstLine="560"/>
        <w:rPr>
          <w:lang w:bidi="en-US"/>
        </w:rPr>
      </w:pPr>
      <w:r>
        <w:rPr>
          <w:rFonts w:hint="eastAsia"/>
          <w:lang w:bidi="en-US"/>
        </w:rPr>
        <w:t>通过提升农业基础设施建设，促进移民村的农业现代化发展。对移民村现状农业基础设施薄弱的村庄建设农业灌溉机井、渠道、塘堰，整治现有老化水利设施、坑塘水面，生产道路改善等。</w:t>
      </w:r>
    </w:p>
    <w:p>
      <w:pPr>
        <w:pStyle w:val="43"/>
        <w:ind w:firstLine="560"/>
        <w:rPr>
          <w:lang w:bidi="en-US"/>
        </w:rPr>
      </w:pPr>
      <w:r>
        <w:rPr>
          <w:rFonts w:hint="eastAsia"/>
          <w:lang w:bidi="en-US"/>
        </w:rPr>
        <w:t>（</w:t>
      </w:r>
      <w:r>
        <w:rPr>
          <w:lang w:bidi="en-US"/>
        </w:rPr>
        <w:t>1</w:t>
      </w:r>
      <w:r>
        <w:rPr>
          <w:rFonts w:hint="eastAsia"/>
          <w:lang w:bidi="en-US"/>
        </w:rPr>
        <w:t>）农田水利</w:t>
      </w:r>
    </w:p>
    <w:p>
      <w:pPr>
        <w:pStyle w:val="43"/>
        <w:ind w:firstLine="560"/>
        <w:rPr>
          <w:lang w:bidi="en-US"/>
        </w:rPr>
      </w:pPr>
      <w:r>
        <w:rPr>
          <w:rFonts w:hint="eastAsia"/>
          <w:lang w:bidi="en-US"/>
        </w:rPr>
        <w:t>水利灌溉是促进农业稳产高产的基础，由于地势要求，规划在元谋移民村区域内积极发展管道输水，同时应配套喷、滴灌等田间节水措施。针对水利配套较弱、生产基础较好的移民村现状，在启宪安置点、瓦渣箐安置点、甘塘安置点等涉及的移民村内，新建滴管系统。</w:t>
      </w:r>
    </w:p>
    <w:p>
      <w:pPr>
        <w:pStyle w:val="43"/>
        <w:ind w:firstLine="560"/>
        <w:rPr>
          <w:lang w:bidi="en-US"/>
        </w:rPr>
      </w:pPr>
      <w:r>
        <w:rPr>
          <w:rFonts w:hint="eastAsia"/>
          <w:lang w:bidi="en-US"/>
        </w:rPr>
        <w:t>（</w:t>
      </w:r>
      <w:r>
        <w:rPr>
          <w:lang w:bidi="en-US"/>
        </w:rPr>
        <w:t>2</w:t>
      </w:r>
      <w:r>
        <w:rPr>
          <w:rFonts w:hint="eastAsia"/>
          <w:lang w:bidi="en-US"/>
        </w:rPr>
        <w:t>）生产道路</w:t>
      </w:r>
    </w:p>
    <w:p>
      <w:pPr>
        <w:pStyle w:val="43"/>
        <w:ind w:firstLine="560"/>
        <w:rPr>
          <w:lang w:bidi="en-US"/>
        </w:rPr>
      </w:pPr>
      <w:r>
        <w:rPr>
          <w:rFonts w:hint="eastAsia"/>
          <w:lang w:bidi="en-US"/>
        </w:rPr>
        <w:t>梳理移民村生产道路网络，对生产道路被水库阻断、常年失修破损、不满足基本生产需求的生产道路进行维修改造，加强农业生产的“毛细血管”连接，满足农民生产需求。</w:t>
      </w:r>
    </w:p>
    <w:p>
      <w:pPr>
        <w:ind w:firstLine="560" w:firstLineChars="200"/>
        <w:contextualSpacing/>
        <w:rPr>
          <w:rFonts w:ascii="Times New Roman" w:hAnsi="Times New Roman" w:cs="Times New Roman"/>
          <w:color w:val="000000"/>
          <w:kern w:val="0"/>
          <w:szCs w:val="24"/>
          <w:lang w:bidi="en-US"/>
        </w:rPr>
      </w:pPr>
      <w:r>
        <w:rPr>
          <w:rFonts w:hint="eastAsia" w:ascii="Times New Roman" w:hAnsi="Times New Roman" w:cs="Times New Roman"/>
          <w:color w:val="000000"/>
          <w:kern w:val="0"/>
          <w:szCs w:val="24"/>
          <w:lang w:bidi="en-US"/>
        </w:rPr>
        <w:t>在元马镇、江边乡等乡镇，打通生产用地与居民点内道路连接，加强区域间联系，进行田间</w:t>
      </w:r>
      <w:r>
        <w:rPr>
          <w:rStyle w:val="42"/>
          <w:rFonts w:hint="eastAsia"/>
        </w:rPr>
        <w:t>道</w:t>
      </w:r>
      <w:r>
        <w:rPr>
          <w:rFonts w:hint="eastAsia" w:ascii="Times New Roman" w:hAnsi="Times New Roman" w:cs="Times New Roman"/>
          <w:color w:val="000000"/>
          <w:kern w:val="0"/>
          <w:szCs w:val="24"/>
          <w:lang w:bidi="en-US"/>
        </w:rPr>
        <w:t>路的新建及硬化，发挥区域联动作用。</w:t>
      </w:r>
    </w:p>
    <w:p>
      <w:pPr>
        <w:pStyle w:val="54"/>
        <w:ind w:firstLine="560"/>
      </w:pPr>
      <w:r>
        <w:rPr>
          <w:rFonts w:hint="eastAsia"/>
        </w:rPr>
        <w:t>8）提升农业种养业品牌化建设、转变农业经营方式</w:t>
      </w:r>
    </w:p>
    <w:p>
      <w:pPr>
        <w:pStyle w:val="43"/>
        <w:ind w:firstLine="560"/>
        <w:rPr>
          <w:lang w:bidi="en-US"/>
        </w:rPr>
      </w:pPr>
      <w:r>
        <w:rPr>
          <w:rFonts w:hint="eastAsia"/>
          <w:lang w:bidi="en-US"/>
        </w:rPr>
        <w:t>以农业现代化建设为契机，探索农业种养业产业化、标准化、品牌化、智慧化和绿色化“五化结合”的现代农业发展路径，提升库区农业种植业的整体发展水平。</w:t>
      </w:r>
    </w:p>
    <w:p>
      <w:pPr>
        <w:pStyle w:val="43"/>
        <w:ind w:firstLine="560"/>
        <w:rPr>
          <w:lang w:bidi="en-US"/>
        </w:rPr>
      </w:pPr>
      <w:r>
        <w:rPr>
          <w:rFonts w:hint="eastAsia"/>
          <w:lang w:bidi="en-US"/>
        </w:rPr>
        <w:t>按照因地制宜、经济高效、环境友好、资源节约、农民自愿、积极引导原则，合理调整和优化农业种植结构，在库区农村形成花卉种植、特色林果种植、冬枣蔬菜种植等种养方向。重点扶持移民村群众对花卉、芒果等特色基地进行技术改造，完善基地道路、水利等配套基础设施，发展名、优、特产品，打造一批产品质量好、适应市场能力强，经济效益高的种植业基地。</w:t>
      </w:r>
    </w:p>
    <w:p>
      <w:pPr>
        <w:pStyle w:val="43"/>
        <w:ind w:firstLine="560"/>
        <w:rPr>
          <w:lang w:bidi="en-US"/>
        </w:rPr>
      </w:pPr>
      <w:r>
        <w:rPr>
          <w:rFonts w:hint="eastAsia"/>
          <w:lang w:bidi="en-US"/>
        </w:rPr>
        <w:t>在农业经营方式上，规划引进龙头企业、经营能人、种植大户，引导和激励其与移民群众建立利益联结机制，积极探索土地流转、租赁承包、股金分红和科技辐射等产业扶持模式</w:t>
      </w:r>
      <w:r>
        <w:rPr>
          <w:lang w:bidi="en-US"/>
        </w:rPr>
        <w:t>,</w:t>
      </w:r>
      <w:r>
        <w:rPr>
          <w:rFonts w:hint="eastAsia"/>
          <w:lang w:bidi="en-US"/>
        </w:rPr>
        <w:t>扶持建立</w:t>
      </w:r>
      <w:r>
        <w:rPr>
          <w:lang w:bidi="en-US"/>
        </w:rPr>
        <w:t>“</w:t>
      </w:r>
      <w:r>
        <w:rPr>
          <w:rFonts w:hint="eastAsia"/>
          <w:lang w:bidi="en-US"/>
        </w:rPr>
        <w:t>公司</w:t>
      </w:r>
      <w:r>
        <w:rPr>
          <w:lang w:bidi="en-US"/>
        </w:rPr>
        <w:t>+</w:t>
      </w:r>
      <w:r>
        <w:rPr>
          <w:rFonts w:hint="eastAsia"/>
          <w:lang w:bidi="en-US"/>
        </w:rPr>
        <w:t>基地</w:t>
      </w:r>
      <w:r>
        <w:rPr>
          <w:lang w:bidi="en-US"/>
        </w:rPr>
        <w:t>+</w:t>
      </w:r>
      <w:r>
        <w:rPr>
          <w:rFonts w:hint="eastAsia"/>
          <w:lang w:bidi="en-US"/>
        </w:rPr>
        <w:t>农户</w:t>
      </w:r>
      <w:r>
        <w:rPr>
          <w:lang w:bidi="en-US"/>
        </w:rPr>
        <w:t>”</w:t>
      </w:r>
      <w:r>
        <w:rPr>
          <w:rFonts w:hint="eastAsia"/>
          <w:lang w:bidi="en-US"/>
        </w:rPr>
        <w:t>、</w:t>
      </w:r>
      <w:r>
        <w:rPr>
          <w:lang w:bidi="en-US"/>
        </w:rPr>
        <w:t>“</w:t>
      </w:r>
      <w:r>
        <w:rPr>
          <w:rFonts w:hint="eastAsia"/>
          <w:lang w:bidi="en-US"/>
        </w:rPr>
        <w:t>集体</w:t>
      </w:r>
      <w:r>
        <w:rPr>
          <w:lang w:bidi="en-US"/>
        </w:rPr>
        <w:t>+</w:t>
      </w:r>
      <w:r>
        <w:rPr>
          <w:rFonts w:hint="eastAsia"/>
          <w:lang w:bidi="en-US"/>
        </w:rPr>
        <w:t>基地</w:t>
      </w:r>
      <w:r>
        <w:rPr>
          <w:lang w:bidi="en-US"/>
        </w:rPr>
        <w:t>”</w:t>
      </w:r>
      <w:r>
        <w:rPr>
          <w:rFonts w:hint="eastAsia"/>
          <w:lang w:bidi="en-US"/>
        </w:rPr>
        <w:t>、</w:t>
      </w:r>
      <w:r>
        <w:rPr>
          <w:lang w:bidi="en-US"/>
        </w:rPr>
        <w:t>“</w:t>
      </w:r>
      <w:r>
        <w:rPr>
          <w:rFonts w:hint="eastAsia"/>
          <w:lang w:bidi="en-US"/>
        </w:rPr>
        <w:t>公司</w:t>
      </w:r>
      <w:r>
        <w:rPr>
          <w:lang w:bidi="en-US"/>
        </w:rPr>
        <w:t>+</w:t>
      </w:r>
      <w:r>
        <w:rPr>
          <w:rFonts w:hint="eastAsia"/>
          <w:lang w:bidi="en-US"/>
        </w:rPr>
        <w:t>集体</w:t>
      </w:r>
      <w:r>
        <w:rPr>
          <w:lang w:bidi="en-US"/>
        </w:rPr>
        <w:t>+</w:t>
      </w:r>
      <w:r>
        <w:rPr>
          <w:rFonts w:hint="eastAsia"/>
          <w:lang w:bidi="en-US"/>
        </w:rPr>
        <w:t>基地</w:t>
      </w:r>
      <w:r>
        <w:rPr>
          <w:lang w:bidi="en-US"/>
        </w:rPr>
        <w:t>+</w:t>
      </w:r>
      <w:r>
        <w:rPr>
          <w:rFonts w:hint="eastAsia"/>
          <w:lang w:bidi="en-US"/>
        </w:rPr>
        <w:t>农户</w:t>
      </w:r>
      <w:r>
        <w:rPr>
          <w:lang w:bidi="en-US"/>
        </w:rPr>
        <w:t>”</w:t>
      </w:r>
      <w:r>
        <w:rPr>
          <w:rFonts w:hint="eastAsia"/>
          <w:lang w:bidi="en-US"/>
        </w:rPr>
        <w:t>等新型经营方式，帮助移民在农业生产中抵御风险、稳定增收、安稳致富。</w:t>
      </w:r>
    </w:p>
    <w:p>
      <w:pPr>
        <w:pStyle w:val="54"/>
        <w:ind w:firstLine="560"/>
      </w:pPr>
      <w:r>
        <w:rPr>
          <w:rFonts w:hint="eastAsia"/>
        </w:rPr>
        <w:t>9）乡村特色产业</w:t>
      </w:r>
    </w:p>
    <w:p>
      <w:pPr>
        <w:pStyle w:val="43"/>
        <w:ind w:firstLine="560"/>
        <w:rPr>
          <w:lang w:bidi="en-US"/>
        </w:rPr>
      </w:pPr>
      <w:r>
        <w:rPr>
          <w:rFonts w:hint="eastAsia"/>
          <w:lang w:bidi="en-US"/>
        </w:rPr>
        <w:t>支持挖掘移民村各类非物质文化遗产资源，保护民俗工艺，建立手工作坊、移民车间，促进移民村特色文化产业发展。支持发展现有的特色手工业，通过建设手工作坊、乡村车间等形式，引导移民结合乡村旅游，发展彝族擀毡、元谋花灯等特色产品。加强对乡土特色文化的挖掘，激发农民创造力，加强文化与手工艺创作的结合，发展乡村文化产业。支持通过民宿、乡村体验馆等形式，发展特色手工艺品，传承文化，带动移民致富。鼓励通过培训，带动更多手艺传播，发展一批特色手工艺村。</w:t>
      </w:r>
    </w:p>
    <w:p>
      <w:pPr>
        <w:pStyle w:val="54"/>
        <w:ind w:firstLine="560"/>
      </w:pPr>
      <w:r>
        <w:rPr>
          <w:rFonts w:hint="eastAsia"/>
        </w:rPr>
        <w:t>10）构建</w:t>
      </w:r>
      <w:r>
        <w:t>“</w:t>
      </w:r>
      <w:r>
        <w:rPr>
          <w:rFonts w:hint="eastAsia"/>
        </w:rPr>
        <w:t>三产</w:t>
      </w:r>
      <w:r>
        <w:t>”</w:t>
      </w:r>
      <w:r>
        <w:rPr>
          <w:rFonts w:hint="eastAsia"/>
        </w:rPr>
        <w:t>融合发展、提升经济造血功能</w:t>
      </w:r>
    </w:p>
    <w:p>
      <w:pPr>
        <w:pStyle w:val="43"/>
        <w:ind w:firstLine="560"/>
        <w:rPr>
          <w:lang w:bidi="en-US"/>
        </w:rPr>
      </w:pPr>
      <w:r>
        <w:rPr>
          <w:rFonts w:hint="eastAsia"/>
          <w:lang w:bidi="en-US"/>
        </w:rPr>
        <w:t>立足元谋县丰富的自然资源、深厚的民族文化底蕴，结合全县“乡村旅游</w:t>
      </w:r>
      <w:r>
        <w:rPr>
          <w:lang w:bidi="en-US"/>
        </w:rPr>
        <w:t>+</w:t>
      </w:r>
      <w:r>
        <w:rPr>
          <w:rFonts w:hint="eastAsia"/>
          <w:lang w:bidi="en-US"/>
        </w:rPr>
        <w:t>”产业发展宗旨，以移民安稳致富为核心，着力扶持移民村生态经济、集体经济发展，重点培育农业加工业、乡村旅游、乡村商贸物流等新型产业，提升产业规模、提高产业附加值，培育三次产业互补融合的绿色产业发展体系，提升移民村集体经济造血能力。</w:t>
      </w:r>
    </w:p>
    <w:p>
      <w:pPr>
        <w:pStyle w:val="43"/>
        <w:ind w:firstLine="560"/>
        <w:rPr>
          <w:lang w:bidi="en-US"/>
        </w:rPr>
      </w:pPr>
      <w:r>
        <w:rPr>
          <w:rFonts w:hint="eastAsia"/>
          <w:lang w:bidi="en-US"/>
        </w:rPr>
        <w:t>积极推进农业加工流通发展，通过增加农产品加工、加快农产品流通等环节，增加产品销量，促进农产品生产由数量型增长向质量、效益型增长转变，促进产业结构的调整和优化，提升产业的档次水平。</w:t>
      </w:r>
    </w:p>
    <w:p>
      <w:pPr>
        <w:pStyle w:val="43"/>
        <w:ind w:firstLine="560"/>
        <w:rPr>
          <w:lang w:bidi="en-US"/>
        </w:rPr>
      </w:pPr>
      <w:r>
        <w:rPr>
          <w:rFonts w:hint="eastAsia"/>
          <w:lang w:bidi="en-US"/>
        </w:rPr>
        <w:t>结合产业发展现状，规划建设一批农产品加工园、农产品产业交易中心，包含农产品初加工、冷藏存贮等内容。通过引进“龙头企业</w:t>
      </w:r>
      <w:r>
        <w:rPr>
          <w:lang w:bidi="en-US"/>
        </w:rPr>
        <w:t>+</w:t>
      </w:r>
      <w:r>
        <w:rPr>
          <w:rFonts w:hint="eastAsia"/>
          <w:lang w:bidi="en-US"/>
        </w:rPr>
        <w:t>农户</w:t>
      </w:r>
      <w:r>
        <w:rPr>
          <w:lang w:bidi="en-US"/>
        </w:rPr>
        <w:t>”</w:t>
      </w:r>
      <w:r>
        <w:rPr>
          <w:rFonts w:hint="eastAsia"/>
          <w:lang w:bidi="en-US"/>
        </w:rPr>
        <w:t>的经营体系，对农产品加工园、农产品产业交易中心进行现代信息化管理，将农产品的生产端和消费端直接地联系在一起，集商流、物流、信息流和资金流于一体，充分发挥龙头企业对整个供应链的协调作用，减少流通环节，尽可能降低流通成本和农产品损耗，同时有利于掌握市场信息，调整供需平衡，提高移民种植积极性，适时调整种植结构。</w:t>
      </w:r>
    </w:p>
    <w:p>
      <w:pPr>
        <w:pStyle w:val="54"/>
        <w:ind w:firstLine="560"/>
      </w:pPr>
      <w:r>
        <w:rPr>
          <w:rFonts w:hint="eastAsia"/>
        </w:rPr>
        <w:t>11）乡村休闲旅游</w:t>
      </w:r>
    </w:p>
    <w:p>
      <w:pPr>
        <w:pStyle w:val="43"/>
        <w:ind w:firstLine="560"/>
        <w:rPr>
          <w:lang w:bidi="en-US"/>
        </w:rPr>
      </w:pPr>
      <w:r>
        <w:rPr>
          <w:rFonts w:hint="eastAsia"/>
          <w:lang w:bidi="en-US"/>
        </w:rPr>
        <w:t>利用发挥元谋特有的地理位置和独有的生态资源优势，通过城区带动、景区带动促进移民村乡村旅游发展，推动移民村完善配套设施，提升人居环境，增加旅游产品，推动库区乡村旅游向特色化、市场化、品牌化、标准化方向发展，形成以旅富农、以农促旅、农旅结合、城乡互动的乡村旅游发展新格局。结合移民村旅游资源禀赋，根据移民村的分类，找准移民村旅游发展定位，优化移民村旅游产品结构，形成良好的区域联动，带动移民共同富裕。</w:t>
      </w:r>
    </w:p>
    <w:p>
      <w:pPr>
        <w:pStyle w:val="43"/>
        <w:ind w:firstLine="560"/>
        <w:rPr>
          <w:lang w:bidi="en-US"/>
        </w:rPr>
      </w:pPr>
      <w:r>
        <w:rPr>
          <w:rFonts w:hint="eastAsia"/>
          <w:lang w:bidi="en-US"/>
        </w:rPr>
        <w:t>以城郊休闲旅游为主的元马镇，充分利用城郊的区位、交通等优势，充分发挥地理资源优势，发展农业花卉观光、农事体验等旅游产品，吸引城区市民前往消费。</w:t>
      </w:r>
    </w:p>
    <w:p>
      <w:pPr>
        <w:pStyle w:val="43"/>
        <w:ind w:firstLine="560"/>
        <w:rPr>
          <w:lang w:bidi="en-US"/>
        </w:rPr>
      </w:pPr>
      <w:r>
        <w:rPr>
          <w:rFonts w:hint="eastAsia"/>
          <w:lang w:bidi="en-US"/>
        </w:rPr>
        <w:t>近江区的江边乡等移民村主要依托库区旅游资源，发展山水康养游，选取旅游资源良好、基础设施配套较完善、区位优势明显的移民村，建设乡村旅游服务中心，通过江边大道将各中心有机连接，发展住宿、餐饮、康体、养生等业态。</w:t>
      </w:r>
    </w:p>
    <w:p>
      <w:pPr>
        <w:pStyle w:val="54"/>
        <w:ind w:firstLine="560"/>
      </w:pPr>
      <w:r>
        <w:rPr>
          <w:rFonts w:hint="eastAsia"/>
        </w:rPr>
        <w:t>12）乡村新型服务业</w:t>
      </w:r>
    </w:p>
    <w:p>
      <w:pPr>
        <w:pStyle w:val="43"/>
        <w:ind w:firstLine="560"/>
        <w:rPr>
          <w:lang w:bidi="en-US"/>
        </w:rPr>
      </w:pPr>
      <w:r>
        <w:rPr>
          <w:rFonts w:hint="eastAsia"/>
          <w:lang w:bidi="en-US"/>
        </w:rPr>
        <w:t>鼓励发展农村电商中心、商贸物流中心，通过教育培训，促进农村电子信息产业发展，加快农产品流通速度。</w:t>
      </w:r>
    </w:p>
    <w:p>
      <w:pPr>
        <w:pStyle w:val="43"/>
        <w:ind w:firstLine="560"/>
        <w:rPr>
          <w:lang w:bidi="en-US"/>
        </w:rPr>
      </w:pPr>
      <w:r>
        <w:rPr>
          <w:rFonts w:hint="eastAsia"/>
          <w:lang w:bidi="en-US"/>
        </w:rPr>
        <w:t>选取资源较好移民村，建立专业的农村电商交易中心，服务周边区域。实现有效的精确、便利、快捷的组织管理运营模式，利用信息技术的优势与良好前景，管理好信息、生产、加工、供销、运输等各个环节，使信息搜集、信息分析、信息发布、生产监控、市场管理融为一体，实现“互联网</w:t>
      </w:r>
      <w:r>
        <w:rPr>
          <w:lang w:bidi="en-US"/>
        </w:rPr>
        <w:t>+</w:t>
      </w:r>
      <w:r>
        <w:rPr>
          <w:rFonts w:hint="eastAsia"/>
          <w:lang w:bidi="en-US"/>
        </w:rPr>
        <w:t>合作社</w:t>
      </w:r>
      <w:r>
        <w:rPr>
          <w:lang w:bidi="en-US"/>
        </w:rPr>
        <w:t>+</w:t>
      </w:r>
      <w:r>
        <w:rPr>
          <w:rFonts w:hint="eastAsia"/>
          <w:lang w:bidi="en-US"/>
        </w:rPr>
        <w:t>农户</w:t>
      </w:r>
      <w:r>
        <w:rPr>
          <w:lang w:bidi="en-US"/>
        </w:rPr>
        <w:t>”</w:t>
      </w:r>
      <w:r>
        <w:rPr>
          <w:rFonts w:hint="eastAsia"/>
          <w:lang w:bidi="en-US"/>
        </w:rPr>
        <w:t>的现代农业的生产经营方式。</w:t>
      </w:r>
    </w:p>
    <w:p>
      <w:pPr>
        <w:pStyle w:val="3"/>
        <w:rPr>
          <w:rFonts w:hAnsi="Times New Roman" w:cs="Times New Roman"/>
          <w:szCs w:val="36"/>
        </w:rPr>
      </w:pPr>
      <w:bookmarkStart w:id="66" w:name="_Toc86914841"/>
      <w:r>
        <w:rPr>
          <w:rFonts w:hAnsi="Times New Roman" w:cs="Times New Roman"/>
          <w:szCs w:val="36"/>
        </w:rPr>
        <w:t>6.6</w:t>
      </w:r>
      <w:r>
        <w:rPr>
          <w:rFonts w:hint="eastAsia" w:hAnsi="Times New Roman" w:cs="Times New Roman"/>
          <w:szCs w:val="36"/>
        </w:rPr>
        <w:t>　重大项目</w:t>
      </w:r>
      <w:bookmarkEnd w:id="66"/>
    </w:p>
    <w:p>
      <w:pPr>
        <w:pStyle w:val="43"/>
        <w:ind w:firstLine="560"/>
        <w:rPr>
          <w:lang w:bidi="en-US"/>
        </w:rPr>
      </w:pPr>
      <w:r>
        <w:rPr>
          <w:rFonts w:hint="eastAsia"/>
          <w:lang w:bidi="en-US"/>
        </w:rPr>
        <w:t>元谋县大中型水库移民“十四五”产业转型升级重点项目主要为小额贷款贴息、农业基础设施建设、农业种养业及农产品加工流通等方面，策划重大项目5个，总投资12519.14万元，其中后期扶持资金9493.00万元。</w:t>
      </w:r>
    </w:p>
    <w:p>
      <w:pPr>
        <w:pStyle w:val="54"/>
        <w:ind w:firstLine="560"/>
      </w:pPr>
      <w:r>
        <w:rPr>
          <w:rFonts w:hint="eastAsia"/>
        </w:rPr>
        <w:t>1）元谋县乌东德水电站移民小额贷款贴息</w:t>
      </w:r>
    </w:p>
    <w:p>
      <w:pPr>
        <w:pStyle w:val="43"/>
        <w:ind w:firstLine="560"/>
        <w:rPr>
          <w:lang w:bidi="en-US"/>
        </w:rPr>
      </w:pPr>
      <w:r>
        <w:rPr>
          <w:rFonts w:hint="eastAsia"/>
          <w:lang w:bidi="en-US"/>
        </w:rPr>
        <w:t>（1）项目背景</w:t>
      </w:r>
    </w:p>
    <w:p>
      <w:pPr>
        <w:pStyle w:val="43"/>
        <w:ind w:firstLine="560"/>
        <w:rPr>
          <w:lang w:bidi="en-US"/>
        </w:rPr>
      </w:pPr>
      <w:r>
        <w:rPr>
          <w:rFonts w:hint="eastAsia"/>
          <w:lang w:bidi="en-US"/>
        </w:rPr>
        <w:t>小额贴息贷款主要用于支持移民户发展产业，建房，扩大生产等，促进移民户增收致富的资金需求。目前，楚雄州搬迁安置办公室已通过楚搬复〔</w:t>
      </w:r>
      <w:r>
        <w:rPr>
          <w:lang w:bidi="en-US"/>
        </w:rPr>
        <w:t>2006</w:t>
      </w:r>
      <w:r>
        <w:rPr>
          <w:rFonts w:hint="eastAsia"/>
          <w:lang w:bidi="en-US"/>
        </w:rPr>
        <w:t>〕</w:t>
      </w:r>
      <w:r>
        <w:rPr>
          <w:lang w:bidi="en-US"/>
        </w:rPr>
        <w:t>25号正式批复</w:t>
      </w:r>
      <w:r>
        <w:rPr>
          <w:rFonts w:hint="eastAsia"/>
          <w:lang w:bidi="en-US"/>
        </w:rPr>
        <w:t>2021年度资金480万元。</w:t>
      </w:r>
    </w:p>
    <w:p>
      <w:pPr>
        <w:pStyle w:val="43"/>
        <w:ind w:firstLine="560"/>
        <w:rPr>
          <w:lang w:bidi="en-US"/>
        </w:rPr>
      </w:pPr>
      <w:r>
        <w:rPr>
          <w:rFonts w:hint="eastAsia"/>
          <w:lang w:bidi="en-US"/>
        </w:rPr>
        <w:t>（2）项目建设必要性及可行性</w:t>
      </w:r>
    </w:p>
    <w:p>
      <w:pPr>
        <w:pStyle w:val="43"/>
        <w:ind w:firstLine="560"/>
        <w:rPr>
          <w:lang w:bidi="en-US"/>
        </w:rPr>
      </w:pPr>
      <w:r>
        <w:rPr>
          <w:rFonts w:hint="eastAsia"/>
          <w:lang w:bidi="en-US"/>
        </w:rPr>
        <w:t>通过项目的实施，能有效缓解乌东德水电站建设库区移民建房和产业发展资金筹资压力，促进移民安置区社会经济发展和维护社会稳定，项目建设是必要的。</w:t>
      </w:r>
    </w:p>
    <w:p>
      <w:pPr>
        <w:pStyle w:val="43"/>
        <w:ind w:firstLine="560"/>
        <w:rPr>
          <w:lang w:bidi="en-US"/>
        </w:rPr>
      </w:pPr>
      <w:r>
        <w:rPr>
          <w:rFonts w:hint="eastAsia"/>
          <w:lang w:bidi="en-US"/>
        </w:rPr>
        <w:t>根据国家和云南省大中型水库移民后期扶持相关法规政策，该建设项目征求了移民群众意愿并得到认可，移民参与积极性高，安置区社会基础条件好，项目建设资金采取申请后期扶持专项资金，项目建设可行。</w:t>
      </w:r>
    </w:p>
    <w:p>
      <w:pPr>
        <w:pStyle w:val="43"/>
        <w:ind w:firstLine="560"/>
        <w:rPr>
          <w:lang w:bidi="en-US"/>
        </w:rPr>
      </w:pPr>
      <w:r>
        <w:rPr>
          <w:rFonts w:hint="eastAsia"/>
          <w:lang w:bidi="en-US"/>
        </w:rPr>
        <w:t>（3）规划内容及投资</w:t>
      </w:r>
    </w:p>
    <w:p>
      <w:pPr>
        <w:pStyle w:val="43"/>
        <w:ind w:firstLine="560"/>
        <w:rPr>
          <w:lang w:bidi="en-US"/>
        </w:rPr>
      </w:pPr>
      <w:r>
        <w:rPr>
          <w:lang w:bidi="en-US"/>
        </w:rPr>
        <w:t>该项目规划2021年至2022年实施</w:t>
      </w:r>
      <w:r>
        <w:rPr>
          <w:rFonts w:hint="eastAsia"/>
          <w:lang w:bidi="en-US"/>
        </w:rPr>
        <w:t>，</w:t>
      </w:r>
      <w:r>
        <w:rPr>
          <w:lang w:bidi="en-US"/>
        </w:rPr>
        <w:t>计划1600户小额贷款贴息，每户贷款5万元，按照年利率6%贴息。需后扶资金</w:t>
      </w:r>
      <w:r>
        <w:rPr>
          <w:rFonts w:hint="eastAsia"/>
          <w:lang w:bidi="en-US"/>
        </w:rPr>
        <w:t>960万元。</w:t>
      </w:r>
    </w:p>
    <w:p>
      <w:pPr>
        <w:pStyle w:val="54"/>
        <w:ind w:firstLine="560"/>
      </w:pPr>
      <w:r>
        <w:rPr>
          <w:rFonts w:hint="eastAsia"/>
        </w:rPr>
        <w:t>2）元谋县大中型水库移民小额贷款贴息</w:t>
      </w:r>
    </w:p>
    <w:p>
      <w:pPr>
        <w:pStyle w:val="43"/>
        <w:ind w:firstLine="560"/>
        <w:rPr>
          <w:lang w:bidi="en-US"/>
        </w:rPr>
      </w:pPr>
      <w:r>
        <w:rPr>
          <w:rFonts w:hint="eastAsia"/>
          <w:lang w:bidi="en-US"/>
        </w:rPr>
        <w:t>（1）项目背景</w:t>
      </w:r>
    </w:p>
    <w:p>
      <w:pPr>
        <w:pStyle w:val="43"/>
        <w:ind w:firstLine="560"/>
        <w:rPr>
          <w:lang w:bidi="en-US"/>
        </w:rPr>
      </w:pPr>
      <w:r>
        <w:rPr>
          <w:rFonts w:hint="eastAsia"/>
          <w:lang w:bidi="en-US"/>
        </w:rPr>
        <w:t>按照政府贴息，群众自愿的原则，向符合条件且有贷款意愿的移民户发放小额贴息贷款，有效解决移民群众建房资金、发展产业资金短缺的问题，全力推进全县老水库移民生产生活、产业发展等方面工作，促进移民早日致富，推动全县经济社会和谐发展</w:t>
      </w:r>
      <w:r>
        <w:rPr>
          <w:lang w:bidi="en-US"/>
        </w:rPr>
        <w:t>。</w:t>
      </w:r>
    </w:p>
    <w:p>
      <w:pPr>
        <w:pStyle w:val="43"/>
        <w:ind w:firstLine="560"/>
        <w:rPr>
          <w:lang w:bidi="en-US"/>
        </w:rPr>
      </w:pPr>
      <w:r>
        <w:rPr>
          <w:rFonts w:hint="eastAsia"/>
          <w:lang w:bidi="en-US"/>
        </w:rPr>
        <w:t>（2）项目建设必要性及可行性</w:t>
      </w:r>
    </w:p>
    <w:p>
      <w:pPr>
        <w:pStyle w:val="43"/>
        <w:ind w:firstLine="560"/>
        <w:rPr>
          <w:lang w:bidi="en-US"/>
        </w:rPr>
      </w:pPr>
      <w:r>
        <w:rPr>
          <w:rFonts w:hint="eastAsia"/>
          <w:lang w:bidi="en-US"/>
        </w:rPr>
        <w:t>通过项目的实施，能有效缓解元谋县老水库库区移民建房和产业发展资金筹资压力，促进移民安置区社会经济发展和维护社会稳定，项目建设是必要的。</w:t>
      </w:r>
    </w:p>
    <w:p>
      <w:pPr>
        <w:pStyle w:val="43"/>
        <w:ind w:firstLine="560"/>
        <w:rPr>
          <w:lang w:bidi="en-US"/>
        </w:rPr>
      </w:pPr>
      <w:r>
        <w:rPr>
          <w:rFonts w:hint="eastAsia"/>
          <w:lang w:bidi="en-US"/>
        </w:rPr>
        <w:t>根据国家和云南省大中型水库移民后期扶持相关法规政策，该建设项目征求了移民群众意愿并得到认可，移民参与积极性高，移民村社会基础条件好，项目建设资金采取申请后期扶持专项资金，项目建设可行。</w:t>
      </w:r>
    </w:p>
    <w:p>
      <w:pPr>
        <w:pStyle w:val="43"/>
        <w:ind w:firstLine="560"/>
        <w:rPr>
          <w:lang w:bidi="en-US"/>
        </w:rPr>
      </w:pPr>
      <w:r>
        <w:rPr>
          <w:rFonts w:hint="eastAsia"/>
          <w:lang w:bidi="en-US"/>
        </w:rPr>
        <w:t>（3）规划内容及投资</w:t>
      </w:r>
    </w:p>
    <w:p>
      <w:pPr>
        <w:pStyle w:val="43"/>
        <w:ind w:firstLine="560"/>
        <w:rPr>
          <w:b/>
          <w:lang w:bidi="en-US"/>
        </w:rPr>
      </w:pPr>
      <w:r>
        <w:rPr>
          <w:lang w:bidi="en-US"/>
        </w:rPr>
        <w:t>该项目规划202</w:t>
      </w:r>
      <w:r>
        <w:rPr>
          <w:rFonts w:hint="eastAsia"/>
          <w:lang w:bidi="en-US"/>
        </w:rPr>
        <w:t>3</w:t>
      </w:r>
      <w:r>
        <w:rPr>
          <w:lang w:bidi="en-US"/>
        </w:rPr>
        <w:t>年至202</w:t>
      </w:r>
      <w:r>
        <w:rPr>
          <w:rFonts w:hint="eastAsia"/>
          <w:lang w:bidi="en-US"/>
        </w:rPr>
        <w:t>5</w:t>
      </w:r>
      <w:r>
        <w:rPr>
          <w:lang w:bidi="en-US"/>
        </w:rPr>
        <w:t>年实施</w:t>
      </w:r>
      <w:r>
        <w:rPr>
          <w:rFonts w:hint="eastAsia"/>
          <w:lang w:bidi="en-US"/>
        </w:rPr>
        <w:t>，元谋县大中型水库移民小额贷款贴息计划150</w:t>
      </w:r>
      <w:r>
        <w:rPr>
          <w:lang w:bidi="en-US"/>
        </w:rPr>
        <w:t>0</w:t>
      </w:r>
      <w:r>
        <w:rPr>
          <w:rFonts w:hint="eastAsia"/>
          <w:lang w:bidi="en-US"/>
        </w:rPr>
        <w:t>户，按照年利率</w:t>
      </w:r>
      <w:r>
        <w:rPr>
          <w:lang w:bidi="en-US"/>
        </w:rPr>
        <w:t>6%</w:t>
      </w:r>
      <w:r>
        <w:rPr>
          <w:rFonts w:hint="eastAsia"/>
          <w:lang w:bidi="en-US"/>
        </w:rPr>
        <w:t>，期限</w:t>
      </w:r>
      <w:r>
        <w:rPr>
          <w:lang w:bidi="en-US"/>
        </w:rPr>
        <w:t>3</w:t>
      </w:r>
      <w:r>
        <w:rPr>
          <w:rFonts w:hint="eastAsia"/>
          <w:lang w:bidi="en-US"/>
        </w:rPr>
        <w:t>年计算，规划后扶资金1350</w:t>
      </w:r>
      <w:r>
        <w:rPr>
          <w:lang w:bidi="en-US"/>
        </w:rPr>
        <w:t>.00</w:t>
      </w:r>
      <w:r>
        <w:rPr>
          <w:rFonts w:hint="eastAsia"/>
          <w:lang w:bidi="en-US"/>
        </w:rPr>
        <w:t>万元。</w:t>
      </w:r>
    </w:p>
    <w:p>
      <w:pPr>
        <w:pStyle w:val="54"/>
        <w:ind w:firstLine="560"/>
      </w:pPr>
      <w:r>
        <w:rPr>
          <w:rFonts w:hint="eastAsia"/>
        </w:rPr>
        <w:t>3）江边集镇安置点高原特色农业发展示范项目</w:t>
      </w:r>
    </w:p>
    <w:p>
      <w:pPr>
        <w:pStyle w:val="43"/>
        <w:ind w:firstLine="560"/>
        <w:rPr>
          <w:lang w:bidi="en-US"/>
        </w:rPr>
      </w:pPr>
      <w:r>
        <w:rPr>
          <w:rFonts w:hint="eastAsia"/>
          <w:lang w:bidi="en-US"/>
        </w:rPr>
        <w:t>（</w:t>
      </w:r>
      <w:r>
        <w:rPr>
          <w:lang w:bidi="en-US"/>
        </w:rPr>
        <w:t>1</w:t>
      </w:r>
      <w:r>
        <w:rPr>
          <w:rFonts w:hint="eastAsia"/>
          <w:lang w:bidi="en-US"/>
        </w:rPr>
        <w:t>）项目背景</w:t>
      </w:r>
    </w:p>
    <w:p>
      <w:pPr>
        <w:pStyle w:val="43"/>
        <w:ind w:firstLine="560"/>
        <w:rPr>
          <w:highlight w:val="yellow"/>
          <w:lang w:bidi="en-US"/>
        </w:rPr>
      </w:pPr>
      <w:r>
        <w:rPr>
          <w:rFonts w:hint="eastAsia"/>
          <w:lang w:bidi="en-US"/>
        </w:rPr>
        <w:t>江边集镇安置点</w:t>
      </w:r>
      <w:r>
        <w:rPr>
          <w:lang w:bidi="en-US"/>
        </w:rPr>
        <w:t>位于</w:t>
      </w:r>
      <w:r>
        <w:rPr>
          <w:rFonts w:hint="eastAsia"/>
          <w:lang w:bidi="en-US"/>
        </w:rPr>
        <w:t>金沙江支流龙川江河谷右岸，地处龙街盆地中部，地势总体南高北低，由东向西地表高程逐渐降低，形成倾向龙川江的斜坡地貌。规划区内微地形复杂，受地表水冲刷及多次泥石流堆积影响，地表冲沟发育，局部起伏较大。项目区属亚热带气候，具有干热的河谷气候特征。气候干燥炎热，降雨量少，蒸发量大，区内季节性干旱现象频出，对农业生产带来了严重影响。元谋县搬迁安置办公室针对现状进行提前谋划，委托设计单位进行了江边集镇安置点高原特色农业发展项目规划，并形成了《乌东德水电站云南省元谋县启宪移民安置点高原特色农业发展示范项目可行性研究报告》，2020年8月，中国水利水电建设工程咨询昆明有限公司乌东德水电站楚雄州建设征地移民安置技术咨询服务项目部</w:t>
      </w:r>
      <w:r>
        <w:rPr>
          <w:lang w:bidi="en-US"/>
        </w:rPr>
        <w:t>组织召开该可研报告技术评审会</w:t>
      </w:r>
      <w:r>
        <w:rPr>
          <w:rFonts w:hint="eastAsia"/>
          <w:lang w:bidi="en-US"/>
        </w:rPr>
        <w:t>，</w:t>
      </w:r>
      <w:r>
        <w:rPr>
          <w:lang w:bidi="en-US"/>
        </w:rPr>
        <w:t>于</w:t>
      </w:r>
      <w:r>
        <w:rPr>
          <w:rFonts w:hint="eastAsia"/>
          <w:lang w:bidi="en-US"/>
        </w:rPr>
        <w:t>2020年10月形成昆审乌函〔</w:t>
      </w:r>
      <w:r>
        <w:rPr>
          <w:lang w:bidi="en-US"/>
        </w:rPr>
        <w:t>2020</w:t>
      </w:r>
      <w:r>
        <w:rPr>
          <w:rFonts w:hint="eastAsia"/>
          <w:lang w:bidi="en-US"/>
        </w:rPr>
        <w:t>〕</w:t>
      </w:r>
      <w:r>
        <w:rPr>
          <w:lang w:bidi="en-US"/>
        </w:rPr>
        <w:t>3</w:t>
      </w:r>
      <w:r>
        <w:rPr>
          <w:rFonts w:hint="eastAsia"/>
          <w:lang w:bidi="en-US"/>
        </w:rPr>
        <w:t>号文，对可研报告形成正式审查意见。</w:t>
      </w:r>
    </w:p>
    <w:p>
      <w:pPr>
        <w:pStyle w:val="43"/>
        <w:ind w:firstLine="560"/>
        <w:rPr>
          <w:lang w:bidi="en-US"/>
        </w:rPr>
      </w:pPr>
      <w:r>
        <w:rPr>
          <w:rFonts w:hint="eastAsia"/>
          <w:lang w:bidi="en-US"/>
        </w:rPr>
        <w:t>（</w:t>
      </w:r>
      <w:r>
        <w:rPr>
          <w:lang w:bidi="en-US"/>
        </w:rPr>
        <w:t>2</w:t>
      </w:r>
      <w:r>
        <w:rPr>
          <w:rFonts w:hint="eastAsia"/>
          <w:lang w:bidi="en-US"/>
        </w:rPr>
        <w:t>）项目建设必要性</w:t>
      </w:r>
    </w:p>
    <w:p>
      <w:pPr>
        <w:pStyle w:val="43"/>
        <w:ind w:firstLine="560"/>
        <w:rPr>
          <w:lang w:bidi="en-US"/>
        </w:rPr>
      </w:pPr>
      <w:r>
        <w:rPr>
          <w:rFonts w:hint="eastAsia"/>
          <w:lang w:bidi="en-US"/>
        </w:rPr>
        <w:t>乌东德水电站是解决华中、华东等地区能源短缺，实施国家“西电东送”战略的骨干电源，既是国家加快推进清洁能源建设的重大战略，也是云南省稳增长、促改革、调结构、惠民生的重点工程。水电开发必然伴随着大量的移民安置工作，是水电建设工作的难点和重点。通过项目建设，在原标准、原规模、恢复原功能的基础上根据资源禀赋尽快找准发展产业，通盘统筹考虑移民安置近期和远期的发展，帮助移民创造和改善生产生活环境，让移民吃下“定心丸”，积极主动配合移民安置，稳步推进电站建设工作。</w:t>
      </w:r>
    </w:p>
    <w:p>
      <w:pPr>
        <w:pStyle w:val="43"/>
        <w:ind w:firstLine="560"/>
        <w:rPr>
          <w:highlight w:val="yellow"/>
          <w:lang w:bidi="en-US"/>
        </w:rPr>
      </w:pPr>
      <w:r>
        <w:rPr>
          <w:rFonts w:hint="eastAsia"/>
          <w:lang w:bidi="en-US"/>
        </w:rPr>
        <w:t>移民工作的目的不仅要实现移民的空间转移即“搬得出”，更重要的是要帮助移民在新的环境中有稳定的生活来源和发展机会，即“稳得住、能发展、会致富”。一次性补偿，主要是解决移民搬迁所需必要条件，即“搬得出”的问题；补助是帮助移民在恢复生产、生活过程中度过最艰难的阶段，达到相对稳定的状态，即“稳得住”的问题；而后期产业扶持则是能让移民“能发展、会致富”。因此，妥善处理好前期补偿、补助与后期扶持的关系，加快后期产业扶持和经济发展步伐，才能实现开发性移民的目的。项目建设充分挖掘金沙江低热河谷地区光热水土资源富集优势，按照“立足产业资源、遵循市场导向、挖掘特色优势、拓展新型业态”的要求和一、二、三产融合发展的思路，从当地产业化规划发展的特色优势产业布局中，选准适宜扶持对象发展的产业，扶持移民参与产业化进程、分享产业化成果，形成产业群和产业链，实现“搬得出、稳得住、能发展、会致富”目标。</w:t>
      </w:r>
    </w:p>
    <w:p>
      <w:pPr>
        <w:pStyle w:val="43"/>
        <w:ind w:firstLine="560"/>
        <w:rPr>
          <w:lang w:bidi="en-US"/>
        </w:rPr>
      </w:pPr>
      <w:r>
        <w:rPr>
          <w:rFonts w:hint="eastAsia"/>
          <w:lang w:bidi="en-US"/>
        </w:rPr>
        <w:t>（</w:t>
      </w:r>
      <w:r>
        <w:rPr>
          <w:lang w:bidi="en-US"/>
        </w:rPr>
        <w:t>3</w:t>
      </w:r>
      <w:r>
        <w:rPr>
          <w:rFonts w:hint="eastAsia"/>
          <w:lang w:bidi="en-US"/>
        </w:rPr>
        <w:t>）项目建设可行性</w:t>
      </w:r>
    </w:p>
    <w:p>
      <w:pPr>
        <w:pStyle w:val="43"/>
        <w:ind w:firstLine="560"/>
        <w:rPr>
          <w:lang w:bidi="en-US"/>
        </w:rPr>
      </w:pPr>
      <w:r>
        <w:rPr>
          <w:rFonts w:hint="eastAsia"/>
          <w:lang w:bidi="en-US"/>
        </w:rPr>
        <w:t>云南省级、州、县各级政府、移民主管部门高度重视项目建设，成立了各级工作领导小组，各级主管部门多次深入调研，积极帮助协调解决项目建设中的各种问题，共同推进项目的实施。同时，项目建设遵循《乌东德水电站云南省元谋县启宪安置点土地开发整理项目初步设计报告》、《乌东德水电站库区和移民安置区产业（农业）</w:t>
      </w:r>
      <w:r>
        <w:rPr>
          <w:lang w:bidi="en-US"/>
        </w:rPr>
        <w:t>发展规划》等相关要求，通过前期掌握</w:t>
      </w:r>
      <w:r>
        <w:rPr>
          <w:rFonts w:hint="eastAsia"/>
          <w:lang w:bidi="en-US"/>
        </w:rPr>
        <w:t>基础材料、安置点土样检测、多次开展实地调研以及专家研讨，结合元谋县委、县政府关于乌东德水电站移民工作的设想以及移民产业扶持思路和将江边集镇定位，经过深入研究、精心规划推进项目建设。</w:t>
      </w:r>
    </w:p>
    <w:p>
      <w:pPr>
        <w:pStyle w:val="43"/>
        <w:ind w:firstLine="560"/>
        <w:rPr>
          <w:lang w:bidi="en-US"/>
        </w:rPr>
      </w:pPr>
      <w:r>
        <w:rPr>
          <w:rFonts w:hint="eastAsia"/>
          <w:lang w:bidi="en-US"/>
        </w:rPr>
        <w:t>江边集镇</w:t>
      </w:r>
      <w:r>
        <w:rPr>
          <w:lang w:bidi="en-US"/>
        </w:rPr>
        <w:t>安置点基础设施条件较好。通过移民安置点土地开发整理、交</w:t>
      </w:r>
      <w:r>
        <w:rPr>
          <w:rFonts w:hint="eastAsia"/>
          <w:lang w:bidi="en-US"/>
        </w:rPr>
        <w:t>通、水利等工程的施工实施后，项目建设区交通方便，水、电、通讯等基础设施配套完善，项目建设条件较好。目前项目区有</w:t>
      </w:r>
      <w:r>
        <w:rPr>
          <w:lang w:bidi="en-US"/>
        </w:rPr>
        <w:t xml:space="preserve"> 019乡道贯穿其中，与金沙江边的黄江公路相连，至县城及多个村组，同时现状道路可与周边村镇相连接，入口道路均与乡镇公路相连。 </w:t>
      </w:r>
    </w:p>
    <w:p>
      <w:pPr>
        <w:pStyle w:val="43"/>
        <w:ind w:firstLine="560"/>
        <w:rPr>
          <w:lang w:bidi="en-US"/>
        </w:rPr>
      </w:pPr>
      <w:r>
        <w:rPr>
          <w:rFonts w:hint="eastAsia"/>
          <w:lang w:bidi="en-US"/>
        </w:rPr>
        <w:t>安置点</w:t>
      </w:r>
      <w:r>
        <w:rPr>
          <w:lang w:bidi="en-US"/>
        </w:rPr>
        <w:t xml:space="preserve">交通区位优势明显。元谋县地处昆明—攀枝花经济圈的重要结合部，与昆明、大理、丽江、香格里拉等世界著名旅游区一同构成香格里拉大旅游环线圈，具备通畅的公路、铁路、水上航运的立体交通运输网络。项目建设地距离县城 30 公里，当地自然条件、地理位置、交通运输、施工协作条件能满足项目建设的要求。 </w:t>
      </w:r>
    </w:p>
    <w:p>
      <w:pPr>
        <w:pStyle w:val="43"/>
        <w:ind w:firstLine="560"/>
        <w:rPr>
          <w:lang w:bidi="en-US"/>
        </w:rPr>
      </w:pPr>
      <w:r>
        <w:rPr>
          <w:lang w:bidi="en-US"/>
        </w:rPr>
        <w:t>发展环境条件优越。</w:t>
      </w:r>
      <w:r>
        <w:rPr>
          <w:rFonts w:hint="eastAsia"/>
          <w:lang w:bidi="en-US"/>
        </w:rPr>
        <w:t>元谋县</w:t>
      </w:r>
      <w:r>
        <w:rPr>
          <w:lang w:bidi="en-US"/>
        </w:rPr>
        <w:t>位于金沙江干热河谷地带，属南亚热带干热季风气候，全年</w:t>
      </w:r>
      <w:r>
        <w:rPr>
          <w:rStyle w:val="42"/>
        </w:rPr>
        <w:t>基</w:t>
      </w:r>
      <w:r>
        <w:rPr>
          <w:lang w:bidi="en-US"/>
        </w:rPr>
        <w:t>本无霜。素有</w:t>
      </w:r>
      <w:r>
        <w:rPr>
          <w:rFonts w:hint="eastAsia"/>
          <w:lang w:bidi="en-US"/>
        </w:rPr>
        <w:t>“</w:t>
      </w:r>
      <w:r>
        <w:rPr>
          <w:lang w:bidi="en-US"/>
        </w:rPr>
        <w:t>天然温室</w:t>
      </w:r>
      <w:r>
        <w:rPr>
          <w:rFonts w:hint="eastAsia"/>
          <w:lang w:bidi="en-US"/>
        </w:rPr>
        <w:t>”</w:t>
      </w:r>
      <w:r>
        <w:rPr>
          <w:lang w:bidi="en-US"/>
        </w:rPr>
        <w:t>、</w:t>
      </w:r>
      <w:r>
        <w:rPr>
          <w:rFonts w:hint="eastAsia"/>
          <w:lang w:bidi="en-US"/>
        </w:rPr>
        <w:t>“</w:t>
      </w:r>
      <w:r>
        <w:rPr>
          <w:lang w:bidi="en-US"/>
        </w:rPr>
        <w:t>金沙江畔大菜园</w:t>
      </w:r>
      <w:r>
        <w:rPr>
          <w:rFonts w:hint="eastAsia"/>
          <w:lang w:bidi="en-US"/>
        </w:rPr>
        <w:t>”</w:t>
      </w:r>
      <w:r>
        <w:rPr>
          <w:lang w:bidi="en-US"/>
        </w:rPr>
        <w:t>等美誉。县境内还有元谋土林、全国红色旅游经典景区金沙江龙街渡、独具特色的热坝田园风光。目前正打造云南省十大历史文化旅游建设项目之一的元谋古人类历史文化旅游项目。</w:t>
      </w:r>
    </w:p>
    <w:p>
      <w:pPr>
        <w:pStyle w:val="43"/>
        <w:ind w:firstLine="560"/>
        <w:rPr>
          <w:lang w:bidi="en-US"/>
        </w:rPr>
      </w:pPr>
      <w:r>
        <w:rPr>
          <w:lang w:bidi="en-US"/>
        </w:rPr>
        <w:t>项目区果蔬、花卉产业优势突出。一是蔬菜产业持续提升。冬早蔬菜产业是元谋最为重要的富民产业，产值占全县农林牧渔业总产值的 40%以上，农民从蔬菜产业获得的纯收入占全年农民人均纯收入的 50%以上。二是特色林果产业发展迅速。近几年，大量的外地客商纷纷到元谋投资开发土地，种植葡萄、橙子等热带水果，全县土地流转 24万多亩，经济林果产业得到快速发展。以冬早蔬菜和热带特色水果为主的高原特色现代农业在全省及国内外有一定影响力。三是花卉产业初具规模。得益于元谋县特殊的气候条件，许多花卉在元谋可冬春季露地种植，</w:t>
      </w:r>
      <w:r>
        <w:rPr>
          <w:rFonts w:hint="eastAsia"/>
          <w:lang w:bidi="en-US"/>
        </w:rPr>
        <w:t>种植的花卉生长周期短、花期长品质好、花色艳丽，尤其是春节和情人节，元谋恰好弥补云南花卉鲜切花产量的不足，种植效益显著。元谋县以温带、亚热带鲜切花卉种植为重点，积极发展适宜冬春种植的鲜切花和盆花品种。元谋县花卉产业已经成为继蔬菜、水果、制繁种之后的第四大支柱产业。</w:t>
      </w:r>
    </w:p>
    <w:p>
      <w:pPr>
        <w:pStyle w:val="43"/>
        <w:ind w:firstLine="560"/>
        <w:rPr>
          <w:highlight w:val="yellow"/>
          <w:lang w:bidi="en-US"/>
        </w:rPr>
      </w:pPr>
      <w:r>
        <w:rPr>
          <w:rFonts w:hint="eastAsia"/>
          <w:lang w:bidi="en-US"/>
        </w:rPr>
        <w:t>同时，江边集镇安置点涉及的乡镇均明确专人负责产业发展工作。明确由</w:t>
      </w:r>
      <w:r>
        <w:rPr>
          <w:lang w:bidi="en-US"/>
        </w:rPr>
        <w:t>县处级领导和县级单位</w:t>
      </w:r>
      <w:r>
        <w:rPr>
          <w:rFonts w:hint="eastAsia"/>
          <w:lang w:bidi="en-US"/>
        </w:rPr>
        <w:t>的</w:t>
      </w:r>
      <w:r>
        <w:rPr>
          <w:lang w:bidi="en-US"/>
        </w:rPr>
        <w:t>干部职工组建驻村工作队，抽调江边、姜驿涉及搬迁村组在外工作的干部参与移民搬迁安置工作，选派了</w:t>
      </w:r>
      <w:r>
        <w:rPr>
          <w:rFonts w:hint="eastAsia"/>
          <w:lang w:bidi="en-US"/>
        </w:rPr>
        <w:t>多名</w:t>
      </w:r>
      <w:r>
        <w:rPr>
          <w:lang w:bidi="en-US"/>
        </w:rPr>
        <w:t>年轻干部到工作一线协助做好政策宣传、思想引导、安置点建设、产业发展等工作。成立了十一个重点产业招商领导小组，党政主要领导带</w:t>
      </w:r>
      <w:r>
        <w:rPr>
          <w:rFonts w:hint="eastAsia"/>
          <w:lang w:bidi="en-US"/>
        </w:rPr>
        <w:t>头招商，县级领导和部门领导亲自招商，进一步为产业发展的稳步推进提供了人才及资源保障。可配备</w:t>
      </w:r>
      <w:r>
        <w:rPr>
          <w:lang w:bidi="en-US"/>
        </w:rPr>
        <w:t>州、县、乡农业技术推广单位全方位技术支持和服务体系，既能为移民安置点农业发展献言献策，还能实地为移民提供适宜发展的品种并进行技术</w:t>
      </w:r>
      <w:r>
        <w:rPr>
          <w:rFonts w:hint="eastAsia"/>
          <w:lang w:bidi="en-US"/>
        </w:rPr>
        <w:t>指导和培训，促成项目的落实和稳步持续推进。</w:t>
      </w:r>
    </w:p>
    <w:p>
      <w:pPr>
        <w:pStyle w:val="43"/>
        <w:ind w:firstLine="560"/>
        <w:rPr>
          <w:lang w:bidi="en-US"/>
        </w:rPr>
      </w:pPr>
      <w:r>
        <w:rPr>
          <w:rFonts w:hint="eastAsia"/>
          <w:lang w:bidi="en-US"/>
        </w:rPr>
        <w:t>（</w:t>
      </w:r>
      <w:r>
        <w:rPr>
          <w:lang w:bidi="en-US"/>
        </w:rPr>
        <w:t>4</w:t>
      </w:r>
      <w:r>
        <w:rPr>
          <w:rFonts w:hint="eastAsia"/>
          <w:lang w:bidi="en-US"/>
        </w:rPr>
        <w:t>）规划内容及投资</w:t>
      </w:r>
    </w:p>
    <w:p>
      <w:pPr>
        <w:pStyle w:val="43"/>
        <w:ind w:firstLine="560"/>
        <w:rPr>
          <w:lang w:bidi="en-US"/>
        </w:rPr>
      </w:pPr>
      <w:r>
        <w:rPr>
          <w:rFonts w:hint="eastAsia"/>
          <w:lang w:bidi="en-US"/>
        </w:rPr>
        <w:t>“十四五”期间围绕江边集镇安置点“旅游特色型”的定位，发展康养农业+旅游，重点规划江边集镇安置点康养休闲、旅游观光、高原特色农业综合性发展。</w:t>
      </w:r>
      <w:r>
        <w:rPr>
          <w:lang w:bidi="en-US"/>
        </w:rPr>
        <w:t>项目的建设遵循“可持续发展”的原则，提倡自然循环和自然生态，保护好生态环境，把土地资源利用和库区移民社会经济协调发展有机地结合起来，实现农业产业化发展和生态环境相互促进的良性循环。按照“统一规划，分期实施，开发一片，建成一片，受益一片，滚动发展”的原则</w:t>
      </w:r>
      <w:r>
        <w:rPr>
          <w:rFonts w:hint="eastAsia"/>
          <w:lang w:bidi="en-US"/>
        </w:rPr>
        <w:t>。</w:t>
      </w:r>
    </w:p>
    <w:p>
      <w:pPr>
        <w:pStyle w:val="43"/>
        <w:ind w:firstLine="560"/>
        <w:rPr>
          <w:lang w:bidi="en-US"/>
        </w:rPr>
      </w:pPr>
      <w:r>
        <w:rPr>
          <w:rFonts w:hint="eastAsia"/>
          <w:lang w:bidi="en-US"/>
        </w:rPr>
        <w:t>项目规划面积</w:t>
      </w:r>
      <w:r>
        <w:rPr>
          <w:lang w:bidi="en-US"/>
        </w:rPr>
        <w:t>3317.65亩。拟建绿色蔬菜生产区 1706.25亩、特色花卉生产区 782亩、热带水果生产区 770亩，展示区 49.75亩，交易市场 9.65亩。</w:t>
      </w:r>
    </w:p>
    <w:p>
      <w:pPr>
        <w:pStyle w:val="43"/>
        <w:ind w:firstLine="560"/>
        <w:rPr>
          <w:lang w:bidi="en-US"/>
        </w:rPr>
      </w:pPr>
      <w:r>
        <w:rPr>
          <w:lang w:bidi="en-US"/>
        </w:rPr>
        <w:t>建设内容</w:t>
      </w:r>
      <w:r>
        <w:rPr>
          <w:rFonts w:hint="eastAsia"/>
          <w:lang w:bidi="en-US"/>
        </w:rPr>
        <w:t>：新建交易棚</w:t>
      </w:r>
      <w:r>
        <w:rPr>
          <w:lang w:bidi="en-US"/>
        </w:rPr>
        <w:t>2001.00m</w:t>
      </w:r>
      <w:r>
        <w:rPr>
          <w:vertAlign w:val="superscript"/>
          <w:lang w:bidi="en-US"/>
        </w:rPr>
        <w:t>2</w:t>
      </w:r>
      <w:r>
        <w:rPr>
          <w:rFonts w:hint="eastAsia"/>
          <w:lang w:bidi="en-US"/>
        </w:rPr>
        <w:t>，</w:t>
      </w:r>
      <w:r>
        <w:rPr>
          <w:lang w:bidi="en-US"/>
        </w:rPr>
        <w:t>管理用房388.24 m</w:t>
      </w:r>
      <w:r>
        <w:rPr>
          <w:vertAlign w:val="superscript"/>
          <w:lang w:bidi="en-US"/>
        </w:rPr>
        <w:t>2</w:t>
      </w:r>
      <w:r>
        <w:rPr>
          <w:rFonts w:hint="eastAsia"/>
          <w:lang w:bidi="en-US"/>
        </w:rPr>
        <w:t>，</w:t>
      </w:r>
      <w:r>
        <w:rPr>
          <w:lang w:bidi="en-US"/>
        </w:rPr>
        <w:t>初加工及储藏间388.24 m</w:t>
      </w:r>
      <w:r>
        <w:rPr>
          <w:vertAlign w:val="superscript"/>
          <w:lang w:bidi="en-US"/>
        </w:rPr>
        <w:t>2</w:t>
      </w:r>
      <w:r>
        <w:rPr>
          <w:rFonts w:hint="eastAsia"/>
          <w:lang w:bidi="en-US"/>
        </w:rPr>
        <w:t>，</w:t>
      </w:r>
      <w:r>
        <w:rPr>
          <w:lang w:bidi="en-US"/>
        </w:rPr>
        <w:t>场地道路硬化3658.52 m</w:t>
      </w:r>
      <w:r>
        <w:rPr>
          <w:vertAlign w:val="superscript"/>
          <w:lang w:bidi="en-US"/>
        </w:rPr>
        <w:t>2</w:t>
      </w:r>
      <w:r>
        <w:rPr>
          <w:rFonts w:hint="eastAsia"/>
          <w:lang w:bidi="en-US"/>
        </w:rPr>
        <w:t>，</w:t>
      </w:r>
      <w:r>
        <w:rPr>
          <w:lang w:bidi="en-US"/>
        </w:rPr>
        <w:t>场地平整19308.00 m</w:t>
      </w:r>
      <w:r>
        <w:rPr>
          <w:vertAlign w:val="superscript"/>
          <w:lang w:bidi="en-US"/>
        </w:rPr>
        <w:t>3</w:t>
      </w:r>
      <w:r>
        <w:rPr>
          <w:rFonts w:hint="eastAsia"/>
          <w:lang w:bidi="en-US"/>
        </w:rPr>
        <w:t>，</w:t>
      </w:r>
      <w:r>
        <w:rPr>
          <w:lang w:bidi="en-US"/>
        </w:rPr>
        <w:t>建设供水供电工程1套及环保消防设施1套；新建滴管系统3258亩；田间道路2m宽生产路改3米硬化17059.50 m</w:t>
      </w:r>
      <w:r>
        <w:rPr>
          <w:vertAlign w:val="superscript"/>
          <w:lang w:bidi="en-US"/>
        </w:rPr>
        <w:t>2</w:t>
      </w:r>
      <w:r>
        <w:rPr>
          <w:lang w:bidi="en-US"/>
        </w:rPr>
        <w:t>，3米宽生产路硬化19723.67 m</w:t>
      </w:r>
      <w:r>
        <w:rPr>
          <w:vertAlign w:val="superscript"/>
          <w:lang w:bidi="en-US"/>
        </w:rPr>
        <w:t>2</w:t>
      </w:r>
      <w:r>
        <w:rPr>
          <w:lang w:bidi="en-US"/>
        </w:rPr>
        <w:t>；新建展示大棚25968 m</w:t>
      </w:r>
      <w:r>
        <w:rPr>
          <w:vertAlign w:val="superscript"/>
          <w:lang w:bidi="en-US"/>
        </w:rPr>
        <w:t>2</w:t>
      </w:r>
      <w:r>
        <w:rPr>
          <w:lang w:bidi="en-US"/>
        </w:rPr>
        <w:t>；2.5m宽道路379.38m。</w:t>
      </w:r>
    </w:p>
    <w:p>
      <w:pPr>
        <w:pStyle w:val="43"/>
        <w:ind w:firstLine="560"/>
        <w:rPr>
          <w:lang w:bidi="en-US"/>
        </w:rPr>
      </w:pPr>
      <w:r>
        <w:rPr>
          <w:rFonts w:hint="eastAsia"/>
          <w:lang w:bidi="en-US"/>
        </w:rPr>
        <w:t>项目规划总投资3497.33万元，其中使用后扶资金2483.00万元，于2021-2023</w:t>
      </w:r>
      <w:r>
        <w:rPr>
          <w:lang w:bidi="en-US"/>
        </w:rPr>
        <w:t>年开展。</w:t>
      </w:r>
    </w:p>
    <w:p>
      <w:pPr>
        <w:pStyle w:val="54"/>
        <w:ind w:firstLine="560"/>
      </w:pPr>
      <w:r>
        <w:rPr>
          <w:rFonts w:hint="eastAsia"/>
        </w:rPr>
        <w:t>4）元谋县瓦渣箐安置点高原特色农业发展示范项目</w:t>
      </w:r>
    </w:p>
    <w:p>
      <w:pPr>
        <w:pStyle w:val="43"/>
        <w:ind w:firstLine="560"/>
        <w:rPr>
          <w:lang w:bidi="en-US"/>
        </w:rPr>
      </w:pPr>
      <w:r>
        <w:rPr>
          <w:rFonts w:hint="eastAsia"/>
          <w:lang w:bidi="en-US"/>
        </w:rPr>
        <w:t>（</w:t>
      </w:r>
      <w:r>
        <w:rPr>
          <w:lang w:bidi="en-US"/>
        </w:rPr>
        <w:t>1</w:t>
      </w:r>
      <w:r>
        <w:rPr>
          <w:rFonts w:hint="eastAsia"/>
          <w:lang w:bidi="en-US"/>
        </w:rPr>
        <w:t>）项目背景</w:t>
      </w:r>
    </w:p>
    <w:p>
      <w:pPr>
        <w:pStyle w:val="43"/>
        <w:ind w:firstLine="560"/>
        <w:rPr>
          <w:lang w:bidi="en-US"/>
        </w:rPr>
      </w:pPr>
      <w:r>
        <w:rPr>
          <w:rFonts w:hint="eastAsia"/>
          <w:lang w:bidi="en-US"/>
        </w:rPr>
        <w:t>云南省指出，推动农业适度规模经营，培育壮大新型农业经营主体，推动传统农业向现代农业转型。整合科研、教学、推广单位的科技资源，构建支撑和引领高原特色农业发展的产业技术体系。抓好优势农产品和产业集群发展，</w:t>
      </w:r>
      <w:r>
        <w:rPr>
          <w:lang w:bidi="en-US"/>
        </w:rPr>
        <w:t>推进优势特色经济作物向最适宜区聚集发展。</w:t>
      </w:r>
    </w:p>
    <w:p>
      <w:pPr>
        <w:pStyle w:val="43"/>
        <w:ind w:firstLine="560"/>
        <w:rPr>
          <w:lang w:bidi="en-US"/>
        </w:rPr>
      </w:pPr>
      <w:r>
        <w:rPr>
          <w:lang w:bidi="en-US"/>
        </w:rPr>
        <w:t>按照“一年有起色、两年见成效、四年成体系” 的总体安排，坚持提升与新建相结合，建成一批与新型农业经营主体相衔接的专业化、标准化、规模化、绿色化生产示范区，创建一批特色产业优势突出、精深加工水平高、辐射带动能力强、产业龙头企业聚集的现代农业与绿色食品制造示范园，打造一批综合效益好的种养型、加工型、流通型和综合型的农合“小巨人”，培育一批产业竞争力强、市场占有率高、国内外知名的彝乡农业品牌，推动现代农业产业园建设向高起点、高标准、高水</w:t>
      </w:r>
      <w:r>
        <w:rPr>
          <w:rFonts w:hint="eastAsia"/>
          <w:lang w:bidi="en-US"/>
        </w:rPr>
        <w:t>平和外向型方向发展。以现代物流体系、提高效率、降低成本、便利群众为重点，加强基础设施建设，大力发展“互联网</w:t>
      </w:r>
      <w:r>
        <w:rPr>
          <w:lang w:bidi="en-US"/>
        </w:rPr>
        <w:t xml:space="preserve">+高效物流”，提升物流信息化、标准化、组织化、智能化水平，努力建设国家重要物流枢纽，形成特色突出、优势互补、核心竞争力强的产业新格局，为建设面向南亚东南亚辐射中心的核心支撑区提供物流服务保障。 </w:t>
      </w:r>
    </w:p>
    <w:p>
      <w:pPr>
        <w:pStyle w:val="43"/>
        <w:ind w:firstLine="560"/>
        <w:rPr>
          <w:lang w:bidi="en-US"/>
        </w:rPr>
      </w:pPr>
      <w:r>
        <w:rPr>
          <w:rFonts w:hint="eastAsia"/>
          <w:lang w:bidi="en-US"/>
        </w:rPr>
        <w:t>从国家到省级再到楚雄州均提出了推进农村一二三产业融合发展，拓宽农民增收渠道的政策要求。</w:t>
      </w:r>
    </w:p>
    <w:p>
      <w:pPr>
        <w:pStyle w:val="43"/>
        <w:ind w:firstLine="560"/>
        <w:rPr>
          <w:lang w:bidi="en-US"/>
        </w:rPr>
      </w:pPr>
      <w:r>
        <w:rPr>
          <w:rFonts w:hint="eastAsia"/>
          <w:lang w:bidi="en-US"/>
        </w:rPr>
        <w:t>目前云南鲜切花已出口到46</w:t>
      </w:r>
      <w:r>
        <w:rPr>
          <w:lang w:bidi="en-US"/>
        </w:rPr>
        <w:t>个国家和地区。在缅甸仰光鲜花市场，30%的切花月季、百合、非洲菊等鲜花来自云南。云南鲜花把花农企业、整个东南亚，甚至是全世界联系起来。鲜切花产销量连续 2</w:t>
      </w:r>
      <w:r>
        <w:rPr>
          <w:rFonts w:hint="eastAsia"/>
          <w:lang w:bidi="en-US"/>
        </w:rPr>
        <w:t>7</w:t>
      </w:r>
      <w:r>
        <w:rPr>
          <w:lang w:bidi="en-US"/>
        </w:rPr>
        <w:t>年</w:t>
      </w:r>
      <w:r>
        <w:rPr>
          <w:rFonts w:hint="eastAsia"/>
          <w:lang w:bidi="en-US"/>
        </w:rPr>
        <w:t>保持全国领先，占全国鲜切花总产量的</w:t>
      </w:r>
      <w:r>
        <w:rPr>
          <w:lang w:bidi="en-US"/>
        </w:rPr>
        <w:t>5</w:t>
      </w:r>
      <w:r>
        <w:rPr>
          <w:rFonts w:hint="eastAsia"/>
          <w:lang w:bidi="en-US"/>
        </w:rPr>
        <w:t>5</w:t>
      </w:r>
      <w:r>
        <w:rPr>
          <w:lang w:bidi="en-US"/>
        </w:rPr>
        <w:t>%，成为全球三大新兴花卉产区之一。</w:t>
      </w:r>
      <w:r>
        <w:rPr>
          <w:rFonts w:hint="eastAsia"/>
          <w:lang w:bidi="en-US"/>
        </w:rPr>
        <w:t>近年来，楚雄州花卉种植面积不断扩大，花卉品种、质量不断提升，创出了一批在国内外花卉市场上都有影响的品牌。</w:t>
      </w:r>
      <w:r>
        <w:rPr>
          <w:lang w:bidi="en-US"/>
        </w:rPr>
        <w:t>20</w:t>
      </w:r>
      <w:r>
        <w:rPr>
          <w:rFonts w:hint="eastAsia"/>
          <w:lang w:bidi="en-US"/>
        </w:rPr>
        <w:t>20</w:t>
      </w:r>
      <w:r>
        <w:rPr>
          <w:lang w:bidi="en-US"/>
        </w:rPr>
        <w:t>年，全州花卉总面积约</w:t>
      </w:r>
      <w:r>
        <w:rPr>
          <w:rFonts w:hint="eastAsia"/>
          <w:lang w:bidi="en-US"/>
        </w:rPr>
        <w:t>3</w:t>
      </w:r>
      <w:r>
        <w:rPr>
          <w:lang w:bidi="en-US"/>
        </w:rPr>
        <w:t>万亩，其中鲜切花约 5000 亩，种植面积每年以 10%以上的速度递增。</w:t>
      </w:r>
    </w:p>
    <w:p>
      <w:pPr>
        <w:pStyle w:val="43"/>
        <w:ind w:firstLine="560"/>
        <w:rPr>
          <w:lang w:bidi="en-US"/>
        </w:rPr>
      </w:pPr>
      <w:r>
        <w:rPr>
          <w:rFonts w:hint="eastAsia"/>
          <w:lang w:bidi="en-US"/>
        </w:rPr>
        <w:t>瓦渣箐安置点</w:t>
      </w:r>
      <w:r>
        <w:rPr>
          <w:lang w:bidi="en-US"/>
        </w:rPr>
        <w:t>位于元马镇东南部，总面积约11220亩，生产用地约3380亩。项目建设以鲜切花（盆花）生产加工、鲜花种苗繁育、景观苗木培育、花卉交易市场及配送中心建设、花卉观光旅游为一体的科技示范园，打造热带花卉旅游小镇。</w:t>
      </w:r>
      <w:r>
        <w:rPr>
          <w:rFonts w:hint="eastAsia"/>
          <w:lang w:bidi="en-US"/>
        </w:rPr>
        <w:t>目前，项目区农业设施技术薄弱、产业化水平不高，思想观念有待提升。</w:t>
      </w:r>
    </w:p>
    <w:p>
      <w:pPr>
        <w:pStyle w:val="43"/>
        <w:ind w:firstLine="560"/>
        <w:rPr>
          <w:highlight w:val="yellow"/>
          <w:lang w:bidi="en-US"/>
        </w:rPr>
      </w:pPr>
      <w:r>
        <w:rPr>
          <w:rFonts w:hint="eastAsia"/>
          <w:lang w:bidi="en-US"/>
        </w:rPr>
        <w:t>元谋县搬迁安置办公室针对现状进行提前谋划，委托设计单位进行了瓦渣箐安置点高原特色农业发展项目规划，并形成了《乌东德水电站云南省元谋县瓦渣箐移民安置点高原特色农业发展示范项目可行性研究报告》，2020年8月，中国水利水电建设工程咨询昆明有限公司乌东德水电站楚雄州建设征地移民安置技术咨询服务项目部</w:t>
      </w:r>
      <w:r>
        <w:rPr>
          <w:lang w:bidi="en-US"/>
        </w:rPr>
        <w:t>组织召开该可研报告技术评审会</w:t>
      </w:r>
      <w:r>
        <w:rPr>
          <w:rFonts w:hint="eastAsia"/>
          <w:lang w:bidi="en-US"/>
        </w:rPr>
        <w:t>，</w:t>
      </w:r>
      <w:r>
        <w:rPr>
          <w:lang w:bidi="en-US"/>
        </w:rPr>
        <w:t>于</w:t>
      </w:r>
      <w:r>
        <w:rPr>
          <w:rFonts w:hint="eastAsia"/>
          <w:lang w:bidi="en-US"/>
        </w:rPr>
        <w:t>2020年10月形成昆审乌函〔</w:t>
      </w:r>
      <w:r>
        <w:rPr>
          <w:lang w:bidi="en-US"/>
        </w:rPr>
        <w:t>2020</w:t>
      </w:r>
      <w:r>
        <w:rPr>
          <w:rFonts w:hint="eastAsia"/>
          <w:lang w:bidi="en-US"/>
        </w:rPr>
        <w:t>〕</w:t>
      </w:r>
      <w:r>
        <w:rPr>
          <w:lang w:bidi="en-US"/>
        </w:rPr>
        <w:t>1</w:t>
      </w:r>
      <w:r>
        <w:rPr>
          <w:rFonts w:hint="eastAsia"/>
          <w:lang w:bidi="en-US"/>
        </w:rPr>
        <w:t>号文，对可研报告形成正式审查意见。</w:t>
      </w:r>
    </w:p>
    <w:p>
      <w:pPr>
        <w:pStyle w:val="43"/>
        <w:ind w:firstLine="560"/>
        <w:rPr>
          <w:lang w:bidi="en-US"/>
        </w:rPr>
      </w:pPr>
      <w:r>
        <w:rPr>
          <w:rFonts w:hint="eastAsia"/>
          <w:lang w:bidi="en-US"/>
        </w:rPr>
        <w:t>（</w:t>
      </w:r>
      <w:r>
        <w:rPr>
          <w:lang w:bidi="en-US"/>
        </w:rPr>
        <w:t>2</w:t>
      </w:r>
      <w:r>
        <w:rPr>
          <w:rFonts w:hint="eastAsia"/>
          <w:lang w:bidi="en-US"/>
        </w:rPr>
        <w:t>）项目建设必要性</w:t>
      </w:r>
    </w:p>
    <w:p>
      <w:pPr>
        <w:pStyle w:val="43"/>
        <w:ind w:firstLine="560"/>
        <w:rPr>
          <w:lang w:bidi="en-US"/>
        </w:rPr>
      </w:pPr>
      <w:r>
        <w:rPr>
          <w:rFonts w:hint="eastAsia"/>
          <w:lang w:bidi="en-US"/>
        </w:rPr>
        <w:t>目前花卉种植仍然靠引进花卉品种来维持花卉产业的规模化发展，外商处于对知识产权的保护和国际市场的控制，不愿把优质品种输入到云南以确保其技术优势。元谋县虽然已经形成了以单类花卉品种为代表的花卉龙头企业，但没有形成统一标准。</w:t>
      </w:r>
    </w:p>
    <w:p>
      <w:pPr>
        <w:pStyle w:val="43"/>
        <w:ind w:firstLine="560"/>
        <w:rPr>
          <w:lang w:bidi="en-US"/>
        </w:rPr>
      </w:pPr>
      <w:r>
        <w:rPr>
          <w:rFonts w:hint="eastAsia"/>
          <w:lang w:bidi="en-US"/>
        </w:rPr>
        <w:t>项目的建设可以有效地开发利用农业资源，培育壮大主导产业。发挥龙头带动作用，增强龙头企业的辐射带动能力，达到有效地开发花卉资源的可持续利用价值。</w:t>
      </w:r>
    </w:p>
    <w:p>
      <w:pPr>
        <w:pStyle w:val="43"/>
        <w:ind w:firstLine="560"/>
        <w:rPr>
          <w:lang w:bidi="en-US"/>
        </w:rPr>
      </w:pPr>
      <w:r>
        <w:rPr>
          <w:rFonts w:hint="eastAsia"/>
          <w:lang w:bidi="en-US"/>
        </w:rPr>
        <w:t>从花卉销售看，花农从种植生产到产品销售大多数花农都只作了初级处理，未建立花卉产品标准化、现代化、产业化生产、加工、销售运作模式，大大降低了鲜花的保鲜度、瓶插时间、商品率及鲜花品质。</w:t>
      </w:r>
    </w:p>
    <w:p>
      <w:pPr>
        <w:pStyle w:val="43"/>
        <w:ind w:firstLine="560"/>
        <w:rPr>
          <w:lang w:bidi="en-US"/>
        </w:rPr>
      </w:pPr>
      <w:r>
        <w:rPr>
          <w:rFonts w:hint="eastAsia"/>
          <w:lang w:bidi="en-US"/>
        </w:rPr>
        <w:t>从云南花卉物流系统看，花卉的运输流程都是从生产地到斗南花卉集散中心，交易之后再运往机场，而出口花卉还要通过检验、检疫和海关部门，总体来说中间的环节较多，时间也长，整个冷链物流系统落后。导致交易成本高，交易效益低，交易创新更困难。</w:t>
      </w:r>
    </w:p>
    <w:p>
      <w:pPr>
        <w:pStyle w:val="43"/>
        <w:ind w:firstLine="560"/>
        <w:rPr>
          <w:lang w:bidi="en-US"/>
        </w:rPr>
      </w:pPr>
      <w:r>
        <w:rPr>
          <w:rFonts w:hint="eastAsia"/>
          <w:lang w:bidi="en-US"/>
        </w:rPr>
        <w:t>（</w:t>
      </w:r>
      <w:r>
        <w:rPr>
          <w:lang w:bidi="en-US"/>
        </w:rPr>
        <w:t>3</w:t>
      </w:r>
      <w:r>
        <w:rPr>
          <w:rFonts w:hint="eastAsia"/>
          <w:lang w:bidi="en-US"/>
        </w:rPr>
        <w:t>）项目建设可行性</w:t>
      </w:r>
    </w:p>
    <w:p>
      <w:pPr>
        <w:pStyle w:val="43"/>
        <w:ind w:firstLine="560"/>
        <w:rPr>
          <w:lang w:bidi="en-US"/>
        </w:rPr>
      </w:pPr>
      <w:r>
        <w:rPr>
          <w:rFonts w:hint="eastAsia"/>
          <w:lang w:bidi="en-US"/>
        </w:rPr>
        <w:t>目前传统农业的发展空间有限，传统大宗粮食作物的市场及价格空间有限，在此基础上带领农民增收致富无从着力，空间发展和办法受到的制约较大。花卉产业是世界各国农业中唯一不受农产品配额限制的产业，十多年来，世界花卉产业以年均</w:t>
      </w:r>
      <w:r>
        <w:rPr>
          <w:lang w:bidi="en-US"/>
        </w:rPr>
        <w:t xml:space="preserve"> 25%的速度增长，远远超过世界经济发展的平均速度。在</w:t>
      </w:r>
      <w:r>
        <w:rPr>
          <w:rFonts w:hint="eastAsia"/>
          <w:lang w:bidi="en-US"/>
        </w:rPr>
        <w:t>21</w:t>
      </w:r>
      <w:r>
        <w:rPr>
          <w:lang w:bidi="en-US"/>
        </w:rPr>
        <w:t>世纪最有发展前途的十大行业中，花卉产业被列为第二位。</w:t>
      </w:r>
    </w:p>
    <w:p>
      <w:pPr>
        <w:pStyle w:val="43"/>
        <w:ind w:firstLine="560"/>
        <w:rPr>
          <w:lang w:bidi="en-US"/>
        </w:rPr>
      </w:pPr>
      <w:r>
        <w:rPr>
          <w:rFonts w:hint="eastAsia"/>
          <w:lang w:bidi="en-US"/>
        </w:rPr>
        <w:t>云南省政府将花卉产业作为推动生物资源开发创新和建设绿色经济强省的重要力量，作为增加农民收入，调整农业产业结构的经济增长点，实施了花卉园区示范、市场体系建设、市场营销、重点示范企业扶持、新品种研发、绿色通道、人才培育、配套产业、质量监督检测等十大工程，举办和参加国内外花卉展览，多种形式对“云花”</w:t>
      </w:r>
      <w:r>
        <w:rPr>
          <w:lang w:bidi="en-US"/>
        </w:rPr>
        <w:t xml:space="preserve"> 宣传报道，吸引国内外客商与云南展开更深层次的合作。</w:t>
      </w:r>
    </w:p>
    <w:p>
      <w:pPr>
        <w:pStyle w:val="43"/>
        <w:ind w:firstLine="560"/>
        <w:rPr>
          <w:lang w:bidi="en-US"/>
        </w:rPr>
      </w:pPr>
      <w:r>
        <w:rPr>
          <w:rFonts w:hint="eastAsia"/>
          <w:lang w:bidi="en-US"/>
        </w:rPr>
        <w:t>该项目将邀请专业花卉产业企业进行运营，项目落地后，引入花卉新品种种苗、花卉生产先进技术，为培育适合元谋县种植的优质花卉新品种，试验、示范、推广优质、高产、高效栽培技术提供有力的技术。坚持设施化、标准化、集约化、园区化发展。</w:t>
      </w:r>
    </w:p>
    <w:p>
      <w:pPr>
        <w:pStyle w:val="43"/>
        <w:ind w:firstLine="560"/>
        <w:rPr>
          <w:lang w:bidi="en-US"/>
        </w:rPr>
      </w:pPr>
      <w:r>
        <w:rPr>
          <w:rFonts w:hint="eastAsia"/>
          <w:lang w:bidi="en-US"/>
        </w:rPr>
        <w:t>（</w:t>
      </w:r>
      <w:r>
        <w:rPr>
          <w:lang w:bidi="en-US"/>
        </w:rPr>
        <w:t>4</w:t>
      </w:r>
      <w:r>
        <w:rPr>
          <w:rFonts w:hint="eastAsia"/>
          <w:lang w:bidi="en-US"/>
        </w:rPr>
        <w:t>）规划内容及投资</w:t>
      </w:r>
    </w:p>
    <w:p>
      <w:pPr>
        <w:pStyle w:val="43"/>
        <w:ind w:firstLine="560"/>
        <w:rPr>
          <w:lang w:bidi="en-US"/>
        </w:rPr>
      </w:pPr>
      <w:r>
        <w:rPr>
          <w:rFonts w:hint="eastAsia"/>
          <w:lang w:bidi="en-US"/>
        </w:rPr>
        <w:t>项目计划建设</w:t>
      </w:r>
      <w:r>
        <w:rPr>
          <w:lang w:bidi="en-US"/>
        </w:rPr>
        <w:t xml:space="preserve"> 1000 余亩集花卉繁育、种植、观光基地，采后处</w:t>
      </w:r>
      <w:r>
        <w:rPr>
          <w:rFonts w:hint="eastAsia"/>
          <w:lang w:bidi="en-US"/>
        </w:rPr>
        <w:t>理中心，办公区域，保鲜库，冷链物流车，物流交易中心，省外城市建仓及</w:t>
      </w:r>
      <w:r>
        <w:rPr>
          <w:lang w:bidi="en-US"/>
        </w:rPr>
        <w:t xml:space="preserve"> B2B、B2C 网络电商销售平台等为一体的鲜花供应链综合体，运用完整的产业链降低产品成本，能进一步提升</w:t>
      </w:r>
      <w:r>
        <w:rPr>
          <w:rFonts w:hint="eastAsia"/>
          <w:lang w:bidi="en-US"/>
        </w:rPr>
        <w:t>元谋</w:t>
      </w:r>
      <w:r>
        <w:rPr>
          <w:lang w:bidi="en-US"/>
        </w:rPr>
        <w:t>县乃至楚雄州现代花卉种业、种植、加工、物流、销售水平，实现花卉产业“产－供－销”一体化，在整体经济效益上进行互补。</w:t>
      </w:r>
    </w:p>
    <w:p>
      <w:pPr>
        <w:pStyle w:val="43"/>
        <w:ind w:firstLine="560"/>
        <w:rPr>
          <w:lang w:bidi="en-US"/>
        </w:rPr>
      </w:pPr>
      <w:r>
        <w:rPr>
          <w:rFonts w:hint="eastAsia"/>
          <w:lang w:bidi="en-US"/>
        </w:rPr>
        <w:t>规划于2021-2023</w:t>
      </w:r>
      <w:r>
        <w:rPr>
          <w:lang w:bidi="en-US"/>
        </w:rPr>
        <w:t>年开展该项目。建设地点位于</w:t>
      </w:r>
      <w:r>
        <w:rPr>
          <w:rFonts w:hint="eastAsia"/>
          <w:lang w:bidi="en-US"/>
        </w:rPr>
        <w:t>元谋</w:t>
      </w:r>
      <w:r>
        <w:rPr>
          <w:lang w:bidi="en-US"/>
        </w:rPr>
        <w:t>县</w:t>
      </w:r>
      <w:r>
        <w:rPr>
          <w:rFonts w:hint="eastAsia"/>
          <w:lang w:bidi="en-US"/>
        </w:rPr>
        <w:t>元马</w:t>
      </w:r>
      <w:r>
        <w:rPr>
          <w:lang w:bidi="en-US"/>
        </w:rPr>
        <w:t>镇</w:t>
      </w:r>
      <w:r>
        <w:rPr>
          <w:rFonts w:hint="eastAsia"/>
          <w:lang w:bidi="en-US"/>
        </w:rPr>
        <w:t>金龙村</w:t>
      </w:r>
      <w:r>
        <w:rPr>
          <w:lang w:bidi="en-US"/>
        </w:rPr>
        <w:t>。</w:t>
      </w:r>
    </w:p>
    <w:p>
      <w:pPr>
        <w:pStyle w:val="43"/>
        <w:ind w:firstLine="560"/>
        <w:rPr>
          <w:lang w:bidi="en-US"/>
        </w:rPr>
      </w:pPr>
      <w:r>
        <w:rPr>
          <w:lang w:bidi="en-US"/>
        </w:rPr>
        <w:t>建设内容</w:t>
      </w:r>
      <w:r>
        <w:rPr>
          <w:rFonts w:hint="eastAsia"/>
          <w:lang w:bidi="en-US"/>
        </w:rPr>
        <w:t>：扩建交易大棚</w:t>
      </w:r>
      <w:r>
        <w:rPr>
          <w:lang w:bidi="en-US"/>
        </w:rPr>
        <w:t>2001.00 m</w:t>
      </w:r>
      <w:r>
        <w:rPr>
          <w:vertAlign w:val="superscript"/>
          <w:lang w:bidi="en-US"/>
        </w:rPr>
        <w:t>2</w:t>
      </w:r>
      <w:r>
        <w:rPr>
          <w:lang w:bidi="en-US"/>
        </w:rPr>
        <w:t>，新建管理用房310.96 m</w:t>
      </w:r>
      <w:r>
        <w:rPr>
          <w:vertAlign w:val="superscript"/>
          <w:lang w:bidi="en-US"/>
        </w:rPr>
        <w:t>2</w:t>
      </w:r>
      <w:r>
        <w:rPr>
          <w:lang w:bidi="en-US"/>
        </w:rPr>
        <w:t>，初加工及储藏间388.24m</w:t>
      </w:r>
      <w:r>
        <w:rPr>
          <w:vertAlign w:val="superscript"/>
          <w:lang w:bidi="en-US"/>
        </w:rPr>
        <w:t>2</w:t>
      </w:r>
      <w:r>
        <w:rPr>
          <w:lang w:bidi="en-US"/>
        </w:rPr>
        <w:t>，场地道路硬化7476.80m</w:t>
      </w:r>
      <w:r>
        <w:rPr>
          <w:vertAlign w:val="superscript"/>
          <w:lang w:bidi="en-US"/>
        </w:rPr>
        <w:t>2</w:t>
      </w:r>
      <w:r>
        <w:rPr>
          <w:lang w:bidi="en-US"/>
        </w:rPr>
        <w:t>，场地平整71239.00m</w:t>
      </w:r>
      <w:r>
        <w:rPr>
          <w:vertAlign w:val="superscript"/>
          <w:lang w:bidi="en-US"/>
        </w:rPr>
        <w:t>3</w:t>
      </w:r>
      <w:r>
        <w:rPr>
          <w:lang w:bidi="en-US"/>
        </w:rPr>
        <w:t>，新建供水供电工程1套及环保消防设施1套；新建滴管系统3706亩；农业田间生产路扩宽硬化18840.72m</w:t>
      </w:r>
      <w:r>
        <w:rPr>
          <w:vertAlign w:val="superscript"/>
          <w:lang w:bidi="en-US"/>
        </w:rPr>
        <w:t>2</w:t>
      </w:r>
      <w:r>
        <w:rPr>
          <w:lang w:bidi="en-US"/>
        </w:rPr>
        <w:t>；新建展示大棚21792.00m</w:t>
      </w:r>
      <w:r>
        <w:rPr>
          <w:vertAlign w:val="superscript"/>
          <w:lang w:bidi="en-US"/>
        </w:rPr>
        <w:t>2</w:t>
      </w:r>
      <w:r>
        <w:rPr>
          <w:lang w:bidi="en-US"/>
        </w:rPr>
        <w:t>，新建2m宽道路444.40m。</w:t>
      </w:r>
    </w:p>
    <w:p>
      <w:pPr>
        <w:pStyle w:val="43"/>
        <w:ind w:firstLine="560"/>
        <w:rPr>
          <w:lang w:bidi="en-US"/>
        </w:rPr>
      </w:pPr>
      <w:r>
        <w:rPr>
          <w:rFonts w:hint="eastAsia"/>
          <w:lang w:bidi="en-US"/>
        </w:rPr>
        <w:t>项目规划投资3375.18</w:t>
      </w:r>
      <w:r>
        <w:rPr>
          <w:lang w:bidi="en-US"/>
        </w:rPr>
        <w:t>万元，</w:t>
      </w:r>
      <w:r>
        <w:rPr>
          <w:rFonts w:hint="eastAsia"/>
          <w:lang w:bidi="en-US"/>
        </w:rPr>
        <w:t>其中</w:t>
      </w:r>
      <w:r>
        <w:rPr>
          <w:lang w:bidi="en-US"/>
        </w:rPr>
        <w:t>使用</w:t>
      </w:r>
      <w:r>
        <w:rPr>
          <w:rFonts w:hint="eastAsia"/>
          <w:lang w:bidi="en-US"/>
        </w:rPr>
        <w:t>后期扶持</w:t>
      </w:r>
      <w:r>
        <w:rPr>
          <w:lang w:bidi="en-US"/>
        </w:rPr>
        <w:t>资金</w:t>
      </w:r>
      <w:r>
        <w:rPr>
          <w:rFonts w:hint="eastAsia"/>
          <w:lang w:bidi="en-US"/>
        </w:rPr>
        <w:t>2350.00万元</w:t>
      </w:r>
      <w:r>
        <w:rPr>
          <w:lang w:bidi="en-US"/>
        </w:rPr>
        <w:t>。</w:t>
      </w:r>
    </w:p>
    <w:p>
      <w:pPr>
        <w:pStyle w:val="54"/>
        <w:ind w:firstLine="560"/>
      </w:pPr>
      <w:r>
        <w:rPr>
          <w:rFonts w:hint="eastAsia"/>
        </w:rPr>
        <w:t>5）元谋县甘塘安置点高原特色农业发展示范项目</w:t>
      </w:r>
    </w:p>
    <w:p>
      <w:pPr>
        <w:pStyle w:val="43"/>
        <w:ind w:firstLine="560"/>
        <w:rPr>
          <w:lang w:bidi="en-US"/>
        </w:rPr>
      </w:pPr>
      <w:r>
        <w:rPr>
          <w:rFonts w:hint="eastAsia"/>
          <w:lang w:bidi="en-US"/>
        </w:rPr>
        <w:t>（</w:t>
      </w:r>
      <w:r>
        <w:rPr>
          <w:lang w:bidi="en-US"/>
        </w:rPr>
        <w:t>1</w:t>
      </w:r>
      <w:r>
        <w:rPr>
          <w:rFonts w:hint="eastAsia"/>
          <w:lang w:bidi="en-US"/>
        </w:rPr>
        <w:t>）项目背景</w:t>
      </w:r>
    </w:p>
    <w:p>
      <w:pPr>
        <w:pStyle w:val="43"/>
        <w:ind w:firstLine="560"/>
        <w:rPr>
          <w:highlight w:val="yellow"/>
          <w:lang w:bidi="en-US"/>
        </w:rPr>
      </w:pPr>
      <w:r>
        <w:rPr>
          <w:lang w:bidi="en-US"/>
        </w:rPr>
        <w:t>甘塘安置点是乌东德水电站移民集中安置点之一</w:t>
      </w:r>
      <w:r>
        <w:rPr>
          <w:rFonts w:hint="eastAsia"/>
          <w:lang w:bidi="en-US"/>
        </w:rPr>
        <w:t>，目前，项目区农业技术薄弱、产业化水平不高，体制机制有待建立健全。元谋县搬迁安置办公室针对现状进行提前谋划，委托设计单位进行了甘塘安置点高原特色农业发展项目规划，并形成了《乌东德水电站云南省元谋县甘塘移民安置点高原特色农业发展示范项目可行性研究报告》，2020年8月，中国水利水电建设工程咨询昆明有限公司乌东德水电站楚雄州建设征地移民安置技术咨询服务项目部</w:t>
      </w:r>
      <w:r>
        <w:rPr>
          <w:lang w:bidi="en-US"/>
        </w:rPr>
        <w:t>组织召开该可研报告技术评审会</w:t>
      </w:r>
      <w:r>
        <w:rPr>
          <w:rFonts w:hint="eastAsia"/>
          <w:lang w:bidi="en-US"/>
        </w:rPr>
        <w:t>，</w:t>
      </w:r>
      <w:r>
        <w:rPr>
          <w:lang w:bidi="en-US"/>
        </w:rPr>
        <w:t>于</w:t>
      </w:r>
      <w:r>
        <w:rPr>
          <w:rFonts w:hint="eastAsia"/>
          <w:lang w:bidi="en-US"/>
        </w:rPr>
        <w:t>2020年10月形成昆审乌函〔</w:t>
      </w:r>
      <w:r>
        <w:rPr>
          <w:lang w:bidi="en-US"/>
        </w:rPr>
        <w:t>2020</w:t>
      </w:r>
      <w:r>
        <w:rPr>
          <w:rFonts w:hint="eastAsia"/>
          <w:lang w:bidi="en-US"/>
        </w:rPr>
        <w:t>〕</w:t>
      </w:r>
      <w:r>
        <w:rPr>
          <w:lang w:bidi="en-US"/>
        </w:rPr>
        <w:t>2</w:t>
      </w:r>
      <w:r>
        <w:rPr>
          <w:rFonts w:hint="eastAsia"/>
          <w:lang w:bidi="en-US"/>
        </w:rPr>
        <w:t>号文，对可研报告形成正式审查意见。</w:t>
      </w:r>
    </w:p>
    <w:p>
      <w:pPr>
        <w:pStyle w:val="43"/>
        <w:ind w:firstLine="560"/>
        <w:rPr>
          <w:lang w:bidi="en-US"/>
        </w:rPr>
      </w:pPr>
      <w:r>
        <w:rPr>
          <w:rFonts w:hint="eastAsia"/>
          <w:lang w:bidi="en-US"/>
        </w:rPr>
        <w:t>（</w:t>
      </w:r>
      <w:r>
        <w:rPr>
          <w:lang w:bidi="en-US"/>
        </w:rPr>
        <w:t>2</w:t>
      </w:r>
      <w:r>
        <w:rPr>
          <w:rFonts w:hint="eastAsia"/>
          <w:lang w:bidi="en-US"/>
        </w:rPr>
        <w:t>）项目建设必要性</w:t>
      </w:r>
    </w:p>
    <w:p>
      <w:pPr>
        <w:pStyle w:val="43"/>
        <w:ind w:firstLine="560"/>
        <w:rPr>
          <w:lang w:bidi="en-US"/>
        </w:rPr>
      </w:pPr>
      <w:r>
        <w:rPr>
          <w:rFonts w:hint="eastAsia"/>
          <w:lang w:bidi="en-US"/>
        </w:rPr>
        <w:t>移民搬迁到新安置区，是地形地貌、人口结构、生活方式、经济水平、产业发展等实现重新组合和逐步适应的过程。在这个过程中，移民将面临新生活的转型，赖以生存的生产资料不复存在，从业环境和发展条件发生了变化。这种经济与社会发展战略定位、产业结构、社会格局的调整如果处理不当，势必会致使该地区经济发展严重滞后，震荡大于稳定，磨合大雨发展，反复大于前进。新思路新形势下的开发性移民，不同于之前的赔偿性移民，移民搬迁不仅是实现空间的转移，更重要的是要在原标准、园规模、恢复原功能的基础上帮助移民创造和改善生产生活环境。</w:t>
      </w:r>
    </w:p>
    <w:p>
      <w:pPr>
        <w:pStyle w:val="43"/>
        <w:ind w:firstLine="560"/>
        <w:rPr>
          <w:lang w:bidi="en-US"/>
        </w:rPr>
      </w:pPr>
      <w:r>
        <w:rPr>
          <w:rFonts w:hint="eastAsia"/>
          <w:lang w:bidi="en-US"/>
        </w:rPr>
        <w:t>由于安置区位于偏僻山区，受地理环境条件的影响和制约，影响移民群众生产生活的基础设施和社会事业问题依然突出，移民群众收入水平仍然偏低。其次移民村现有土地面临人口增长，人均耕地减少的问题。针对现在的移民点产业单一、产业结构严重趋同化，利用区域支柱产业，如高效经济作物、农副产品加工业、综合生态农业等优势发展相应产业链下游产业并带动其他产业的发展，为移民多余劳动力提供较多的就业机会。</w:t>
      </w:r>
    </w:p>
    <w:p>
      <w:pPr>
        <w:pStyle w:val="43"/>
        <w:ind w:firstLine="560"/>
        <w:rPr>
          <w:lang w:bidi="en-US"/>
        </w:rPr>
      </w:pPr>
      <w:r>
        <w:rPr>
          <w:rFonts w:hint="eastAsia"/>
          <w:lang w:bidi="en-US"/>
        </w:rPr>
        <w:t>近年来，云南要加快农业现代化步伐，加快农业科技创新，把高原特色农业优势发挥出来，促进农业增产，农民增收，农村繁荣。省委省政府明确提出以加快转变农业发展方式为主线，重点建设“六大内容”，全力打响“四张名片”，着力推进“八大行动”，精心打造一批特色优势产业，在全国乃至世界上推出有优势、有影响、有竞争力的云南特色优势农产品品牌，推动高原特色农业迈上新台阶，为实现跨越发展奠定坚实基础。元谋位于世界公认的黄金气候生态带，境内自然条件优越，区位优势明显，农产品资源丰富，每年生产的洋葱、番茄、菜豆、葡萄、青枣等100多个绿色无公害果蔬畅销全国25个省市的175个大中城市，出口俄罗斯、韩国、日本、新加坡等国家。项目实施后，将直接形成大片农业生产基地，同时通过典型带动作用，加快甘塘安置点特色产业等创汇型生产基地建设的步伐，形成新的经济增长点。</w:t>
      </w:r>
    </w:p>
    <w:p>
      <w:pPr>
        <w:pStyle w:val="43"/>
        <w:ind w:firstLine="560"/>
        <w:rPr>
          <w:lang w:bidi="en-US"/>
        </w:rPr>
      </w:pPr>
      <w:r>
        <w:rPr>
          <w:rFonts w:hint="eastAsia"/>
          <w:lang w:bidi="en-US"/>
        </w:rPr>
        <w:t>（</w:t>
      </w:r>
      <w:r>
        <w:rPr>
          <w:lang w:bidi="en-US"/>
        </w:rPr>
        <w:t>3</w:t>
      </w:r>
      <w:r>
        <w:rPr>
          <w:rFonts w:hint="eastAsia"/>
          <w:lang w:bidi="en-US"/>
        </w:rPr>
        <w:t>）项目建设可行性</w:t>
      </w:r>
    </w:p>
    <w:p>
      <w:pPr>
        <w:pStyle w:val="43"/>
        <w:ind w:firstLine="560"/>
        <w:rPr>
          <w:lang w:bidi="en-US"/>
        </w:rPr>
      </w:pPr>
      <w:r>
        <w:rPr>
          <w:rFonts w:hint="eastAsia"/>
          <w:lang w:bidi="en-US"/>
        </w:rPr>
        <w:t>推进高原特色农业发展，是新时期云南省推进现代农业发展，促进农业增效、农民增收的一项重大决策。大力发展以蔬菜、热带亚热带水果等特色农业和冬季农业开发是云南高原特色农业建设的六大主要建设内容之一。本项目依托元谋县良好的农业资源，通过基地建设和设施农业发展，拓展农业的多功能，促进大中型水库移民区农业产业发展方式的转变，拓宽移民增收渠道，促进移民增收致富。该项目符合国家采取的前期补偿、补助与后期生产扶持相结合的水库移民工作方针，符合省、州、县特色农业发展导向。</w:t>
      </w:r>
    </w:p>
    <w:p>
      <w:pPr>
        <w:pStyle w:val="43"/>
        <w:ind w:firstLine="560"/>
        <w:rPr>
          <w:lang w:bidi="en-US"/>
        </w:rPr>
      </w:pPr>
      <w:r>
        <w:rPr>
          <w:rFonts w:hint="eastAsia"/>
          <w:lang w:bidi="en-US"/>
        </w:rPr>
        <w:t>该项目的经济效益较好，具有很强的可操作性及收益性。项目实施促进了区域现代农业的发展，拓宽了移民增收渠道，同时促进生物农药产业、专用肥料、农业设施产业等农业物资产业的发展，可吸纳更多的农村剩余劳动力，对促进当地经济发展，社会稳定起到积极作用。标准化生产技术推广减少了农药、化肥的使用量，可有效控制农业面源污染。</w:t>
      </w:r>
    </w:p>
    <w:p>
      <w:pPr>
        <w:pStyle w:val="43"/>
        <w:ind w:firstLine="560"/>
        <w:rPr>
          <w:lang w:bidi="en-US"/>
        </w:rPr>
      </w:pPr>
      <w:r>
        <w:rPr>
          <w:rFonts w:hint="eastAsia"/>
          <w:lang w:bidi="en-US"/>
        </w:rPr>
        <w:t>元谋县良好的地理位置和气候条件为果蔬的生长提供了得天得厚的自然资源条件，甘塘安置点在元谋县城郊，运输距离近，配套无公害种植生产技术，在市场销售上具有不可比拟的优势，蔬菜、水果经营采用“合作社</w:t>
      </w:r>
      <w:r>
        <w:rPr>
          <w:lang w:bidi="en-US"/>
        </w:rPr>
        <w:t>+</w:t>
      </w:r>
      <w:r>
        <w:rPr>
          <w:rFonts w:hint="eastAsia"/>
          <w:lang w:bidi="en-US"/>
        </w:rPr>
        <w:t>农户”，“品牌</w:t>
      </w:r>
      <w:r>
        <w:rPr>
          <w:lang w:bidi="en-US"/>
        </w:rPr>
        <w:t>+</w:t>
      </w:r>
      <w:r>
        <w:rPr>
          <w:rFonts w:hint="eastAsia"/>
          <w:lang w:bidi="en-US"/>
        </w:rPr>
        <w:t>农户</w:t>
      </w:r>
      <w:r>
        <w:rPr>
          <w:lang w:bidi="en-US"/>
        </w:rPr>
        <w:t>+</w:t>
      </w:r>
      <w:r>
        <w:rPr>
          <w:rFonts w:hint="eastAsia"/>
          <w:lang w:bidi="en-US"/>
        </w:rPr>
        <w:t>市场”运行模式，县、乡、村均有一批经验丰富的技术人员提供技术支撑。项目建成移交移民村管理经营，质量有保障，移民积极性高，实施有保障。</w:t>
      </w:r>
    </w:p>
    <w:p>
      <w:pPr>
        <w:pStyle w:val="43"/>
        <w:ind w:firstLine="560"/>
        <w:rPr>
          <w:lang w:bidi="en-US"/>
        </w:rPr>
      </w:pPr>
      <w:r>
        <w:rPr>
          <w:rFonts w:hint="eastAsia"/>
          <w:lang w:bidi="en-US"/>
        </w:rPr>
        <w:t>（</w:t>
      </w:r>
      <w:r>
        <w:rPr>
          <w:lang w:bidi="en-US"/>
        </w:rPr>
        <w:t>4</w:t>
      </w:r>
      <w:r>
        <w:rPr>
          <w:rFonts w:hint="eastAsia"/>
          <w:lang w:bidi="en-US"/>
        </w:rPr>
        <w:t>）规划内容及投资</w:t>
      </w:r>
    </w:p>
    <w:p>
      <w:pPr>
        <w:pStyle w:val="43"/>
        <w:ind w:firstLine="560"/>
        <w:rPr>
          <w:lang w:bidi="en-US"/>
        </w:rPr>
      </w:pPr>
      <w:r>
        <w:rPr>
          <w:lang w:bidi="en-US"/>
        </w:rPr>
        <w:t>以稳步提高大中型水库移民收入为目标</w:t>
      </w:r>
      <w:r>
        <w:rPr>
          <w:rFonts w:hint="eastAsia"/>
          <w:lang w:bidi="en-US"/>
        </w:rPr>
        <w:t>，</w:t>
      </w:r>
      <w:r>
        <w:rPr>
          <w:lang w:bidi="en-US"/>
        </w:rPr>
        <w:t>充分发挥金沙江低热河谷地区光热水土资源富集的优势</w:t>
      </w:r>
      <w:r>
        <w:rPr>
          <w:rFonts w:hint="eastAsia"/>
          <w:lang w:bidi="en-US"/>
        </w:rPr>
        <w:t>，</w:t>
      </w:r>
      <w:r>
        <w:rPr>
          <w:lang w:bidi="en-US"/>
        </w:rPr>
        <w:t>立足特色</w:t>
      </w:r>
      <w:r>
        <w:rPr>
          <w:rFonts w:hint="eastAsia"/>
          <w:lang w:bidi="en-US"/>
        </w:rPr>
        <w:t>、</w:t>
      </w:r>
      <w:r>
        <w:rPr>
          <w:lang w:bidi="en-US"/>
        </w:rPr>
        <w:t>面向市场</w:t>
      </w:r>
      <w:r>
        <w:rPr>
          <w:rFonts w:hint="eastAsia"/>
          <w:lang w:bidi="en-US"/>
        </w:rPr>
        <w:t>、</w:t>
      </w:r>
      <w:r>
        <w:rPr>
          <w:lang w:bidi="en-US"/>
        </w:rPr>
        <w:t>发挥比较优势</w:t>
      </w:r>
      <w:r>
        <w:rPr>
          <w:rFonts w:hint="eastAsia"/>
          <w:lang w:bidi="en-US"/>
        </w:rPr>
        <w:t>，</w:t>
      </w:r>
      <w:r>
        <w:rPr>
          <w:lang w:bidi="en-US"/>
        </w:rPr>
        <w:t>以傈僳族历史文化为核心</w:t>
      </w:r>
      <w:r>
        <w:rPr>
          <w:rFonts w:hint="eastAsia"/>
          <w:lang w:bidi="en-US"/>
        </w:rPr>
        <w:t>，</w:t>
      </w:r>
      <w:r>
        <w:rPr>
          <w:lang w:bidi="en-US"/>
        </w:rPr>
        <w:t>结合安置点实际培育发展特色优势主导产业</w:t>
      </w:r>
      <w:r>
        <w:rPr>
          <w:rFonts w:hint="eastAsia"/>
          <w:lang w:bidi="en-US"/>
        </w:rPr>
        <w:t>，</w:t>
      </w:r>
      <w:r>
        <w:rPr>
          <w:lang w:bidi="en-US"/>
        </w:rPr>
        <w:t>同步建成规模化</w:t>
      </w:r>
      <w:r>
        <w:rPr>
          <w:rFonts w:hint="eastAsia"/>
          <w:lang w:bidi="en-US"/>
        </w:rPr>
        <w:t>、</w:t>
      </w:r>
      <w:r>
        <w:rPr>
          <w:lang w:bidi="en-US"/>
        </w:rPr>
        <w:t>标准化现代农业产业基地</w:t>
      </w:r>
      <w:r>
        <w:rPr>
          <w:rFonts w:hint="eastAsia"/>
          <w:lang w:bidi="en-US"/>
        </w:rPr>
        <w:t>。</w:t>
      </w:r>
      <w:r>
        <w:rPr>
          <w:lang w:bidi="en-US"/>
        </w:rPr>
        <w:t>通过项目建设</w:t>
      </w:r>
      <w:r>
        <w:rPr>
          <w:rFonts w:hint="eastAsia"/>
          <w:lang w:bidi="en-US"/>
        </w:rPr>
        <w:t>，</w:t>
      </w:r>
      <w:r>
        <w:rPr>
          <w:lang w:bidi="en-US"/>
        </w:rPr>
        <w:t>基本建立产业布局合理</w:t>
      </w:r>
      <w:r>
        <w:rPr>
          <w:rFonts w:hint="eastAsia"/>
          <w:lang w:bidi="en-US"/>
        </w:rPr>
        <w:t>、</w:t>
      </w:r>
      <w:r>
        <w:rPr>
          <w:lang w:bidi="en-US"/>
        </w:rPr>
        <w:t>结构优化</w:t>
      </w:r>
      <w:r>
        <w:rPr>
          <w:rFonts w:hint="eastAsia"/>
          <w:lang w:bidi="en-US"/>
        </w:rPr>
        <w:t>，</w:t>
      </w:r>
      <w:r>
        <w:rPr>
          <w:lang w:bidi="en-US"/>
        </w:rPr>
        <w:t>支撑体系健全</w:t>
      </w:r>
      <w:r>
        <w:rPr>
          <w:rFonts w:hint="eastAsia"/>
          <w:lang w:bidi="en-US"/>
        </w:rPr>
        <w:t>、</w:t>
      </w:r>
      <w:r>
        <w:rPr>
          <w:lang w:bidi="en-US"/>
        </w:rPr>
        <w:t>优势突出</w:t>
      </w:r>
      <w:r>
        <w:rPr>
          <w:rFonts w:hint="eastAsia"/>
          <w:lang w:bidi="en-US"/>
        </w:rPr>
        <w:t>、</w:t>
      </w:r>
      <w:r>
        <w:rPr>
          <w:lang w:bidi="en-US"/>
        </w:rPr>
        <w:t>移民增收效果明显的现代高效高原特色农业示范样板区和乡村振兴示范引领区</w:t>
      </w:r>
      <w:r>
        <w:rPr>
          <w:rFonts w:hint="eastAsia"/>
          <w:lang w:bidi="en-US"/>
        </w:rPr>
        <w:t>，</w:t>
      </w:r>
      <w:r>
        <w:rPr>
          <w:lang w:bidi="en-US"/>
        </w:rPr>
        <w:t>对同类安置区建设起到重要的示范引领作用</w:t>
      </w:r>
      <w:r>
        <w:rPr>
          <w:rFonts w:hint="eastAsia"/>
          <w:lang w:bidi="en-US"/>
        </w:rPr>
        <w:t>，</w:t>
      </w:r>
      <w:r>
        <w:rPr>
          <w:lang w:bidi="en-US"/>
        </w:rPr>
        <w:t>并对甘塘安置点建设成为</w:t>
      </w:r>
      <w:r>
        <w:rPr>
          <w:rFonts w:hint="eastAsia"/>
          <w:lang w:bidi="en-US"/>
        </w:rPr>
        <w:t>“元谋傈僳族第一村”起到很大的促进作用。</w:t>
      </w:r>
    </w:p>
    <w:p>
      <w:pPr>
        <w:pStyle w:val="43"/>
        <w:ind w:firstLine="560"/>
        <w:rPr>
          <w:lang w:bidi="en-US"/>
        </w:rPr>
      </w:pPr>
      <w:r>
        <w:rPr>
          <w:lang w:bidi="en-US"/>
        </w:rPr>
        <w:t>建设内容</w:t>
      </w:r>
      <w:r>
        <w:rPr>
          <w:rFonts w:hint="eastAsia"/>
          <w:lang w:bidi="en-US"/>
        </w:rPr>
        <w:t>：新建交易棚</w:t>
      </w:r>
      <w:r>
        <w:rPr>
          <w:lang w:bidi="en-US"/>
        </w:rPr>
        <w:t>2001.00 m</w:t>
      </w:r>
      <w:r>
        <w:rPr>
          <w:vertAlign w:val="superscript"/>
          <w:lang w:bidi="en-US"/>
        </w:rPr>
        <w:t>2</w:t>
      </w:r>
      <w:r>
        <w:rPr>
          <w:lang w:bidi="en-US"/>
        </w:rPr>
        <w:t>，管理用房388.24 m</w:t>
      </w:r>
      <w:r>
        <w:rPr>
          <w:vertAlign w:val="superscript"/>
          <w:lang w:bidi="en-US"/>
        </w:rPr>
        <w:t>2</w:t>
      </w:r>
      <w:r>
        <w:rPr>
          <w:lang w:bidi="en-US"/>
        </w:rPr>
        <w:t>，初加工及仓储间388.24 m</w:t>
      </w:r>
      <w:r>
        <w:rPr>
          <w:vertAlign w:val="superscript"/>
          <w:lang w:bidi="en-US"/>
        </w:rPr>
        <w:t>2</w:t>
      </w:r>
      <w:r>
        <w:rPr>
          <w:lang w:bidi="en-US"/>
        </w:rPr>
        <w:t>，场地道路硬化4059.22 m</w:t>
      </w:r>
      <w:r>
        <w:rPr>
          <w:vertAlign w:val="superscript"/>
          <w:lang w:bidi="en-US"/>
        </w:rPr>
        <w:t>2</w:t>
      </w:r>
      <w:r>
        <w:rPr>
          <w:lang w:bidi="en-US"/>
        </w:rPr>
        <w:t>，供水供电系统1套，环保消防设施1套；新建滴管系统2409亩；田间道路拓宽硬化49565.13 m</w:t>
      </w:r>
      <w:r>
        <w:rPr>
          <w:vertAlign w:val="superscript"/>
          <w:lang w:bidi="en-US"/>
        </w:rPr>
        <w:t>2</w:t>
      </w:r>
      <w:r>
        <w:rPr>
          <w:lang w:bidi="en-US"/>
        </w:rPr>
        <w:t>，生产路拓宽硬化2115.99 m</w:t>
      </w:r>
      <w:r>
        <w:rPr>
          <w:vertAlign w:val="superscript"/>
          <w:lang w:bidi="en-US"/>
        </w:rPr>
        <w:t>2</w:t>
      </w:r>
      <w:r>
        <w:rPr>
          <w:lang w:bidi="en-US"/>
        </w:rPr>
        <w:t>；新建展示大棚25872.00 m</w:t>
      </w:r>
      <w:r>
        <w:rPr>
          <w:vertAlign w:val="superscript"/>
          <w:lang w:bidi="en-US"/>
        </w:rPr>
        <w:t>2</w:t>
      </w:r>
      <w:r>
        <w:rPr>
          <w:lang w:bidi="en-US"/>
        </w:rPr>
        <w:t>，新建2.5m宽道路908.96m。</w:t>
      </w:r>
    </w:p>
    <w:p>
      <w:pPr>
        <w:pStyle w:val="43"/>
        <w:ind w:firstLine="560"/>
        <w:rPr>
          <w:lang w:bidi="en-US"/>
        </w:rPr>
      </w:pPr>
      <w:r>
        <w:rPr>
          <w:rFonts w:hint="eastAsia"/>
          <w:lang w:bidi="en-US"/>
        </w:rPr>
        <w:t>规划于2021-2023</w:t>
      </w:r>
      <w:r>
        <w:rPr>
          <w:lang w:bidi="en-US"/>
        </w:rPr>
        <w:t>年开展该项目。建设地点位于</w:t>
      </w:r>
      <w:r>
        <w:rPr>
          <w:rFonts w:hint="eastAsia"/>
          <w:lang w:bidi="en-US"/>
        </w:rPr>
        <w:t>元谋</w:t>
      </w:r>
      <w:r>
        <w:rPr>
          <w:lang w:bidi="en-US"/>
        </w:rPr>
        <w:t>县</w:t>
      </w:r>
      <w:r>
        <w:rPr>
          <w:rFonts w:hint="eastAsia"/>
          <w:lang w:bidi="en-US"/>
        </w:rPr>
        <w:t>元马</w:t>
      </w:r>
      <w:r>
        <w:rPr>
          <w:lang w:bidi="en-US"/>
        </w:rPr>
        <w:t>镇</w:t>
      </w:r>
      <w:r>
        <w:rPr>
          <w:rFonts w:hint="eastAsia"/>
          <w:lang w:bidi="en-US"/>
        </w:rPr>
        <w:t>江州村</w:t>
      </w:r>
      <w:r>
        <w:rPr>
          <w:lang w:bidi="en-US"/>
        </w:rPr>
        <w:t>。</w:t>
      </w:r>
    </w:p>
    <w:p>
      <w:pPr>
        <w:pStyle w:val="43"/>
        <w:ind w:firstLine="560"/>
        <w:rPr>
          <w:lang w:bidi="en-US"/>
        </w:rPr>
      </w:pPr>
      <w:r>
        <w:rPr>
          <w:rFonts w:hint="eastAsia"/>
          <w:lang w:bidi="en-US"/>
        </w:rPr>
        <w:t>项目规划投资3336.63</w:t>
      </w:r>
      <w:r>
        <w:rPr>
          <w:lang w:bidi="en-US"/>
        </w:rPr>
        <w:t>万元，</w:t>
      </w:r>
      <w:r>
        <w:rPr>
          <w:rFonts w:hint="eastAsia"/>
          <w:lang w:bidi="en-US"/>
        </w:rPr>
        <w:t>其中</w:t>
      </w:r>
      <w:r>
        <w:rPr>
          <w:lang w:bidi="en-US"/>
        </w:rPr>
        <w:t>使用</w:t>
      </w:r>
      <w:r>
        <w:rPr>
          <w:rFonts w:hint="eastAsia"/>
          <w:lang w:bidi="en-US"/>
        </w:rPr>
        <w:t>后扶</w:t>
      </w:r>
      <w:r>
        <w:rPr>
          <w:lang w:bidi="en-US"/>
        </w:rPr>
        <w:t>资金</w:t>
      </w:r>
      <w:r>
        <w:rPr>
          <w:rFonts w:hint="eastAsia"/>
          <w:lang w:bidi="en-US"/>
        </w:rPr>
        <w:t>2350.00万元</w:t>
      </w:r>
      <w:r>
        <w:rPr>
          <w:lang w:bidi="en-US"/>
        </w:rPr>
        <w:t>。</w:t>
      </w:r>
    </w:p>
    <w:p>
      <w:pPr>
        <w:pStyle w:val="3"/>
        <w:rPr>
          <w:rFonts w:hAnsi="Times New Roman" w:cs="Times New Roman"/>
          <w:szCs w:val="36"/>
        </w:rPr>
      </w:pPr>
      <w:bookmarkStart w:id="67" w:name="_Toc86914842"/>
      <w:r>
        <w:rPr>
          <w:rFonts w:hAnsi="Times New Roman" w:cs="Times New Roman"/>
          <w:szCs w:val="36"/>
        </w:rPr>
        <w:t>6.7</w:t>
      </w:r>
      <w:r>
        <w:rPr>
          <w:rFonts w:hint="eastAsia" w:hAnsi="Times New Roman" w:cs="Times New Roman"/>
          <w:szCs w:val="36"/>
        </w:rPr>
        <w:t>　后期扶持资金安排</w:t>
      </w:r>
      <w:bookmarkEnd w:id="67"/>
    </w:p>
    <w:p>
      <w:pPr>
        <w:pStyle w:val="43"/>
        <w:ind w:firstLine="560"/>
        <w:rPr>
          <w:lang w:bidi="en-US"/>
        </w:rPr>
      </w:pPr>
      <w:r>
        <w:rPr>
          <w:rFonts w:hint="eastAsia"/>
          <w:lang w:bidi="en-US"/>
        </w:rPr>
        <w:t>产业转型升级通过构建一二三产业融合发展的产业发展体系，扶持移民村发展以旅游产业为基础的特色产业，培育农村旅游、发展乡村经济、增加移民收入，促进移民村持续发展。</w:t>
      </w:r>
    </w:p>
    <w:p>
      <w:pPr>
        <w:pStyle w:val="43"/>
        <w:ind w:firstLine="560"/>
        <w:rPr>
          <w:lang w:bidi="en-US"/>
        </w:rPr>
      </w:pPr>
      <w:r>
        <w:rPr>
          <w:rFonts w:hint="eastAsia"/>
          <w:lang w:bidi="en-US"/>
        </w:rPr>
        <w:t>元谋县大中型水库移民后期扶持“十四五”产业转型升级主要对农业基础设施建设、现代种养业、乡土特色产业、农产品加工流通业、乡村休闲旅游业、乡村新型服务业等多个方面进行建设，共规划项目8个，拟申请后期扶持资金10461.00万元，占</w:t>
      </w:r>
      <w:r>
        <w:rPr>
          <w:lang w:bidi="en-US"/>
        </w:rPr>
        <w:t>“</w:t>
      </w:r>
      <w:r>
        <w:rPr>
          <w:rFonts w:hint="eastAsia"/>
          <w:lang w:bidi="en-US"/>
        </w:rPr>
        <w:t>十四五</w:t>
      </w:r>
      <w:r>
        <w:rPr>
          <w:lang w:bidi="en-US"/>
        </w:rPr>
        <w:t>”</w:t>
      </w:r>
      <w:r>
        <w:rPr>
          <w:rFonts w:hint="eastAsia"/>
          <w:lang w:bidi="en-US"/>
        </w:rPr>
        <w:t>期间后期扶持资金总额的比例60.49</w:t>
      </w:r>
      <w:r>
        <w:rPr>
          <w:lang w:bidi="en-US"/>
        </w:rPr>
        <w:t>%</w:t>
      </w:r>
      <w:r>
        <w:rPr>
          <w:rFonts w:hint="eastAsia"/>
          <w:lang w:bidi="en-US"/>
        </w:rPr>
        <w:t>；其中重大项目5项（表</w:t>
      </w:r>
      <w:r>
        <w:rPr>
          <w:lang w:bidi="en-US"/>
        </w:rPr>
        <w:t xml:space="preserve"> 6.</w:t>
      </w:r>
      <w:r>
        <w:rPr>
          <w:rFonts w:hint="eastAsia"/>
          <w:lang w:bidi="en-US"/>
        </w:rPr>
        <w:t>7</w:t>
      </w:r>
      <w:r>
        <w:rPr>
          <w:lang w:bidi="en-US"/>
        </w:rPr>
        <w:t>-1</w:t>
      </w:r>
      <w:r>
        <w:rPr>
          <w:rFonts w:hint="eastAsia"/>
          <w:lang w:bidi="en-US"/>
        </w:rPr>
        <w:t>序号1-5），申请后扶资金9493.00元；详见表</w:t>
      </w:r>
      <w:r>
        <w:rPr>
          <w:lang w:bidi="en-US"/>
        </w:rPr>
        <w:t xml:space="preserve"> 6.</w:t>
      </w:r>
      <w:r>
        <w:rPr>
          <w:rFonts w:hint="eastAsia"/>
          <w:lang w:bidi="en-US"/>
        </w:rPr>
        <w:t>7</w:t>
      </w:r>
      <w:r>
        <w:rPr>
          <w:lang w:bidi="en-US"/>
        </w:rPr>
        <w:t>-1</w:t>
      </w:r>
      <w:r>
        <w:rPr>
          <w:rFonts w:hint="eastAsia"/>
          <w:lang w:bidi="en-US"/>
        </w:rPr>
        <w:t>。</w:t>
      </w:r>
    </w:p>
    <w:p>
      <w:pPr>
        <w:widowControl/>
        <w:jc w:val="left"/>
        <w:rPr>
          <w:rFonts w:ascii="黑体" w:hAnsi="Times New Roman" w:eastAsia="黑体" w:cs="Times New Roman"/>
          <w:bCs/>
          <w:color w:val="000000" w:themeColor="text1"/>
          <w:kern w:val="0"/>
          <w:sz w:val="24"/>
          <w:szCs w:val="24"/>
          <w14:textFill>
            <w14:solidFill>
              <w14:schemeClr w14:val="tx1"/>
            </w14:solidFill>
          </w14:textFill>
        </w:rPr>
      </w:pPr>
      <w:r>
        <w:br w:type="page"/>
      </w:r>
    </w:p>
    <w:p>
      <w:pPr>
        <w:pStyle w:val="53"/>
        <w:ind w:firstLine="240"/>
      </w:pPr>
      <w:r>
        <w:rPr>
          <w:rFonts w:hint="eastAsia"/>
        </w:rPr>
        <w:t>表</w:t>
      </w:r>
      <w:r>
        <w:t>6.</w:t>
      </w:r>
      <w:r>
        <w:rPr>
          <w:rFonts w:hint="eastAsia"/>
        </w:rPr>
        <w:t>7</w:t>
      </w:r>
      <w:r>
        <w:t>-1　　</w:t>
      </w:r>
      <w:r>
        <w:rPr>
          <w:rFonts w:hint="eastAsia"/>
        </w:rPr>
        <w:t>　　</w:t>
      </w:r>
      <w:r>
        <w:t>　</w:t>
      </w:r>
      <w:r>
        <w:rPr>
          <w:rFonts w:hint="eastAsia"/>
        </w:rPr>
        <w:t>　　产业转型升级规划</w:t>
      </w:r>
      <w:r>
        <w:t>项目及扶持</w:t>
      </w:r>
      <w:r>
        <w:rPr>
          <w:rFonts w:hint="eastAsia"/>
        </w:rPr>
        <w:t>资金情况表</w:t>
      </w:r>
    </w:p>
    <w:tbl>
      <w:tblPr>
        <w:tblStyle w:val="23"/>
        <w:tblW w:w="9072" w:type="dxa"/>
        <w:jc w:val="center"/>
        <w:tblInd w:w="0" w:type="dxa"/>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426"/>
        <w:gridCol w:w="1962"/>
        <w:gridCol w:w="3243"/>
        <w:gridCol w:w="997"/>
        <w:gridCol w:w="886"/>
        <w:gridCol w:w="780"/>
        <w:gridCol w:w="778"/>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tblHeader/>
          <w:jc w:val="center"/>
        </w:trPr>
        <w:tc>
          <w:tcPr>
            <w:tcW w:w="426" w:type="dxa"/>
            <w:shd w:val="clear" w:color="auto" w:fill="auto"/>
            <w:vAlign w:val="center"/>
          </w:tcPr>
          <w:p>
            <w:pPr>
              <w:pStyle w:val="52"/>
            </w:pPr>
            <w:r>
              <w:rPr>
                <w:rFonts w:hint="eastAsia"/>
              </w:rPr>
              <w:t>序号</w:t>
            </w:r>
          </w:p>
        </w:tc>
        <w:tc>
          <w:tcPr>
            <w:tcW w:w="1962" w:type="dxa"/>
            <w:shd w:val="clear" w:color="auto" w:fill="auto"/>
            <w:vAlign w:val="center"/>
          </w:tcPr>
          <w:p>
            <w:pPr>
              <w:pStyle w:val="52"/>
            </w:pPr>
            <w:r>
              <w:rPr>
                <w:rFonts w:hint="eastAsia"/>
              </w:rPr>
              <w:t>项目名称</w:t>
            </w:r>
          </w:p>
        </w:tc>
        <w:tc>
          <w:tcPr>
            <w:tcW w:w="3243" w:type="dxa"/>
            <w:shd w:val="clear" w:color="000000" w:fill="FFFFFF"/>
            <w:vAlign w:val="center"/>
          </w:tcPr>
          <w:p>
            <w:pPr>
              <w:pStyle w:val="52"/>
            </w:pPr>
            <w:r>
              <w:rPr>
                <w:rFonts w:hint="eastAsia"/>
              </w:rPr>
              <w:t>建设内容及规模</w:t>
            </w:r>
          </w:p>
        </w:tc>
        <w:tc>
          <w:tcPr>
            <w:tcW w:w="997" w:type="dxa"/>
            <w:shd w:val="clear" w:color="000000" w:fill="FFFFFF"/>
            <w:vAlign w:val="center"/>
          </w:tcPr>
          <w:p>
            <w:pPr>
              <w:pStyle w:val="52"/>
            </w:pPr>
            <w:r>
              <w:rPr>
                <w:rFonts w:hint="eastAsia"/>
              </w:rPr>
              <w:t>起止</w:t>
            </w:r>
          </w:p>
          <w:p>
            <w:pPr>
              <w:pStyle w:val="52"/>
            </w:pPr>
            <w:r>
              <w:rPr>
                <w:rFonts w:hint="eastAsia"/>
              </w:rPr>
              <w:t>年限</w:t>
            </w:r>
          </w:p>
        </w:tc>
        <w:tc>
          <w:tcPr>
            <w:tcW w:w="886" w:type="dxa"/>
            <w:shd w:val="clear" w:color="000000" w:fill="FFFFFF"/>
            <w:vAlign w:val="center"/>
          </w:tcPr>
          <w:p>
            <w:pPr>
              <w:pStyle w:val="52"/>
            </w:pPr>
            <w:r>
              <w:rPr>
                <w:rFonts w:hint="eastAsia"/>
              </w:rPr>
              <w:t>后扶资金（万元）</w:t>
            </w:r>
          </w:p>
        </w:tc>
        <w:tc>
          <w:tcPr>
            <w:tcW w:w="780" w:type="dxa"/>
            <w:shd w:val="clear" w:color="auto" w:fill="auto"/>
            <w:vAlign w:val="center"/>
          </w:tcPr>
          <w:p>
            <w:pPr>
              <w:pStyle w:val="52"/>
            </w:pPr>
            <w:r>
              <w:rPr>
                <w:rFonts w:hint="eastAsia"/>
              </w:rPr>
              <w:t>受益人数</w:t>
            </w:r>
          </w:p>
        </w:tc>
        <w:tc>
          <w:tcPr>
            <w:tcW w:w="778" w:type="dxa"/>
            <w:shd w:val="clear" w:color="auto" w:fill="auto"/>
            <w:vAlign w:val="center"/>
          </w:tcPr>
          <w:p>
            <w:pPr>
              <w:pStyle w:val="52"/>
            </w:pPr>
            <w:r>
              <w:rPr>
                <w:rFonts w:hint="eastAsia"/>
              </w:rPr>
              <w:t>受益移民人数</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tblHeader/>
          <w:jc w:val="center"/>
        </w:trPr>
        <w:tc>
          <w:tcPr>
            <w:tcW w:w="426" w:type="dxa"/>
            <w:shd w:val="clear" w:color="auto" w:fill="auto"/>
            <w:noWrap/>
            <w:vAlign w:val="center"/>
          </w:tcPr>
          <w:p>
            <w:pPr>
              <w:pStyle w:val="52"/>
            </w:pPr>
            <w:r>
              <w:rPr>
                <w:rFonts w:hint="eastAsia"/>
              </w:rPr>
              <w:t>1</w:t>
            </w:r>
          </w:p>
        </w:tc>
        <w:tc>
          <w:tcPr>
            <w:tcW w:w="1962" w:type="dxa"/>
            <w:shd w:val="clear" w:color="auto" w:fill="auto"/>
            <w:vAlign w:val="center"/>
          </w:tcPr>
          <w:p>
            <w:pPr>
              <w:pStyle w:val="52"/>
              <w:jc w:val="left"/>
            </w:pPr>
            <w:r>
              <w:rPr>
                <w:rFonts w:hint="eastAsia"/>
              </w:rPr>
              <w:t>元谋县乌东德水电站移民小额贷款贴息</w:t>
            </w:r>
          </w:p>
        </w:tc>
        <w:tc>
          <w:tcPr>
            <w:tcW w:w="3243" w:type="dxa"/>
            <w:shd w:val="clear" w:color="auto" w:fill="auto"/>
            <w:vAlign w:val="center"/>
          </w:tcPr>
          <w:p>
            <w:pPr>
              <w:pStyle w:val="52"/>
              <w:jc w:val="left"/>
            </w:pPr>
            <w:r>
              <w:rPr>
                <w:rFonts w:hint="eastAsia"/>
              </w:rPr>
              <w:t>计划1600户小额贷款贴息，每户贷款5万元，按照年利率6%贴息。</w:t>
            </w:r>
          </w:p>
        </w:tc>
        <w:tc>
          <w:tcPr>
            <w:tcW w:w="997" w:type="dxa"/>
            <w:shd w:val="clear" w:color="auto" w:fill="auto"/>
            <w:vAlign w:val="center"/>
          </w:tcPr>
          <w:p>
            <w:pPr>
              <w:pStyle w:val="52"/>
            </w:pPr>
            <w:r>
              <w:rPr>
                <w:rFonts w:hint="eastAsia"/>
              </w:rPr>
              <w:t>2021年-2022年</w:t>
            </w:r>
          </w:p>
        </w:tc>
        <w:tc>
          <w:tcPr>
            <w:tcW w:w="886" w:type="dxa"/>
            <w:shd w:val="clear" w:color="auto" w:fill="auto"/>
            <w:noWrap/>
            <w:vAlign w:val="center"/>
          </w:tcPr>
          <w:p>
            <w:pPr>
              <w:pStyle w:val="52"/>
            </w:pPr>
            <w:r>
              <w:rPr>
                <w:rFonts w:hint="eastAsia"/>
              </w:rPr>
              <w:t>960</w:t>
            </w:r>
          </w:p>
        </w:tc>
        <w:tc>
          <w:tcPr>
            <w:tcW w:w="780" w:type="dxa"/>
            <w:shd w:val="clear" w:color="auto" w:fill="auto"/>
            <w:noWrap/>
            <w:vAlign w:val="center"/>
          </w:tcPr>
          <w:p>
            <w:pPr>
              <w:pStyle w:val="52"/>
            </w:pPr>
            <w:r>
              <w:rPr>
                <w:rFonts w:hint="eastAsia"/>
              </w:rPr>
              <w:t>10580</w:t>
            </w:r>
          </w:p>
        </w:tc>
        <w:tc>
          <w:tcPr>
            <w:tcW w:w="778" w:type="dxa"/>
            <w:shd w:val="clear" w:color="auto" w:fill="auto"/>
            <w:noWrap/>
            <w:vAlign w:val="center"/>
          </w:tcPr>
          <w:p>
            <w:pPr>
              <w:pStyle w:val="52"/>
            </w:pPr>
            <w:r>
              <w:rPr>
                <w:rFonts w:hint="eastAsia"/>
              </w:rPr>
              <w:t>1600</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tblHeader/>
          <w:jc w:val="center"/>
        </w:trPr>
        <w:tc>
          <w:tcPr>
            <w:tcW w:w="426" w:type="dxa"/>
            <w:shd w:val="clear" w:color="auto" w:fill="auto"/>
            <w:noWrap/>
            <w:vAlign w:val="center"/>
          </w:tcPr>
          <w:p>
            <w:pPr>
              <w:pStyle w:val="52"/>
            </w:pPr>
            <w:r>
              <w:rPr>
                <w:rFonts w:hint="eastAsia"/>
              </w:rPr>
              <w:t>2</w:t>
            </w:r>
          </w:p>
        </w:tc>
        <w:tc>
          <w:tcPr>
            <w:tcW w:w="1962" w:type="dxa"/>
            <w:shd w:val="clear" w:color="auto" w:fill="auto"/>
            <w:vAlign w:val="center"/>
          </w:tcPr>
          <w:p>
            <w:pPr>
              <w:pStyle w:val="52"/>
              <w:jc w:val="left"/>
            </w:pPr>
            <w:r>
              <w:rPr>
                <w:rFonts w:hint="eastAsia"/>
              </w:rPr>
              <w:t>元谋县大中型水库移民小额贷款贴息</w:t>
            </w:r>
          </w:p>
        </w:tc>
        <w:tc>
          <w:tcPr>
            <w:tcW w:w="3243" w:type="dxa"/>
            <w:shd w:val="clear" w:color="auto" w:fill="auto"/>
            <w:vAlign w:val="center"/>
          </w:tcPr>
          <w:p>
            <w:pPr>
              <w:pStyle w:val="52"/>
              <w:jc w:val="left"/>
            </w:pPr>
            <w:r>
              <w:rPr>
                <w:rFonts w:hint="eastAsia"/>
              </w:rPr>
              <w:t>计划1500户小额贷款贴息，每户贷款5万元，按照年利率6%贴息。</w:t>
            </w:r>
          </w:p>
        </w:tc>
        <w:tc>
          <w:tcPr>
            <w:tcW w:w="997" w:type="dxa"/>
            <w:shd w:val="clear" w:color="auto" w:fill="auto"/>
            <w:vAlign w:val="center"/>
          </w:tcPr>
          <w:p>
            <w:pPr>
              <w:pStyle w:val="52"/>
            </w:pPr>
            <w:r>
              <w:rPr>
                <w:rFonts w:hint="eastAsia"/>
              </w:rPr>
              <w:t>2023年-2025年</w:t>
            </w:r>
          </w:p>
        </w:tc>
        <w:tc>
          <w:tcPr>
            <w:tcW w:w="886" w:type="dxa"/>
            <w:shd w:val="clear" w:color="auto" w:fill="auto"/>
            <w:noWrap/>
            <w:vAlign w:val="center"/>
          </w:tcPr>
          <w:p>
            <w:pPr>
              <w:pStyle w:val="52"/>
            </w:pPr>
            <w:r>
              <w:rPr>
                <w:rFonts w:hint="eastAsia"/>
              </w:rPr>
              <w:t>1350</w:t>
            </w:r>
          </w:p>
        </w:tc>
        <w:tc>
          <w:tcPr>
            <w:tcW w:w="780" w:type="dxa"/>
            <w:shd w:val="clear" w:color="auto" w:fill="auto"/>
            <w:noWrap/>
            <w:vAlign w:val="center"/>
          </w:tcPr>
          <w:p>
            <w:pPr>
              <w:pStyle w:val="52"/>
            </w:pPr>
            <w:r>
              <w:rPr>
                <w:rFonts w:hint="eastAsia"/>
              </w:rPr>
              <w:t>3434</w:t>
            </w:r>
          </w:p>
        </w:tc>
        <w:tc>
          <w:tcPr>
            <w:tcW w:w="778" w:type="dxa"/>
            <w:shd w:val="clear" w:color="auto" w:fill="auto"/>
            <w:noWrap/>
            <w:vAlign w:val="center"/>
          </w:tcPr>
          <w:p>
            <w:pPr>
              <w:pStyle w:val="52"/>
            </w:pPr>
            <w:r>
              <w:rPr>
                <w:rFonts w:hint="eastAsia"/>
              </w:rPr>
              <w:t>1500</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tblHeader/>
          <w:jc w:val="center"/>
        </w:trPr>
        <w:tc>
          <w:tcPr>
            <w:tcW w:w="426" w:type="dxa"/>
            <w:shd w:val="clear" w:color="auto" w:fill="auto"/>
            <w:noWrap/>
            <w:vAlign w:val="center"/>
          </w:tcPr>
          <w:p>
            <w:pPr>
              <w:pStyle w:val="52"/>
            </w:pPr>
            <w:r>
              <w:rPr>
                <w:rFonts w:hint="eastAsia"/>
              </w:rPr>
              <w:t>3</w:t>
            </w:r>
          </w:p>
        </w:tc>
        <w:tc>
          <w:tcPr>
            <w:tcW w:w="1962" w:type="dxa"/>
            <w:shd w:val="clear" w:color="auto" w:fill="auto"/>
            <w:vAlign w:val="center"/>
          </w:tcPr>
          <w:p>
            <w:pPr>
              <w:pStyle w:val="52"/>
              <w:jc w:val="left"/>
            </w:pPr>
            <w:r>
              <w:rPr>
                <w:rFonts w:hint="eastAsia"/>
              </w:rPr>
              <w:t>元谋县江边集镇安置点高原特色农业发展示范项目</w:t>
            </w:r>
          </w:p>
        </w:tc>
        <w:tc>
          <w:tcPr>
            <w:tcW w:w="3243" w:type="dxa"/>
            <w:shd w:val="clear" w:color="auto" w:fill="auto"/>
            <w:vAlign w:val="center"/>
          </w:tcPr>
          <w:p>
            <w:pPr>
              <w:pStyle w:val="52"/>
              <w:jc w:val="left"/>
            </w:pPr>
            <w:r>
              <w:rPr>
                <w:rFonts w:hint="eastAsia"/>
              </w:rPr>
              <w:t>新建交易棚2001.00m</w:t>
            </w:r>
            <w:r>
              <w:rPr>
                <w:rFonts w:hint="eastAsia"/>
                <w:vertAlign w:val="superscript"/>
              </w:rPr>
              <w:t>2</w:t>
            </w:r>
            <w:r>
              <w:rPr>
                <w:rFonts w:hint="eastAsia"/>
              </w:rPr>
              <w:t>，管理用房388.24m</w:t>
            </w:r>
            <w:r>
              <w:rPr>
                <w:rFonts w:hint="eastAsia"/>
                <w:vertAlign w:val="superscript"/>
              </w:rPr>
              <w:t>2</w:t>
            </w:r>
            <w:r>
              <w:rPr>
                <w:rFonts w:hint="eastAsia"/>
              </w:rPr>
              <w:t>，初加工及储藏间388.24 m</w:t>
            </w:r>
            <w:r>
              <w:rPr>
                <w:rFonts w:hint="eastAsia"/>
                <w:vertAlign w:val="superscript"/>
              </w:rPr>
              <w:t>2</w:t>
            </w:r>
            <w:r>
              <w:rPr>
                <w:rFonts w:hint="eastAsia"/>
              </w:rPr>
              <w:t>，场地道路硬化3658.52 m</w:t>
            </w:r>
            <w:r>
              <w:rPr>
                <w:rFonts w:hint="eastAsia"/>
                <w:vertAlign w:val="superscript"/>
              </w:rPr>
              <w:t>2</w:t>
            </w:r>
            <w:r>
              <w:rPr>
                <w:rFonts w:hint="eastAsia"/>
              </w:rPr>
              <w:t>，场地平整19308.00 m</w:t>
            </w:r>
            <w:r>
              <w:rPr>
                <w:rFonts w:hint="eastAsia"/>
                <w:vertAlign w:val="superscript"/>
              </w:rPr>
              <w:t>3</w:t>
            </w:r>
            <w:r>
              <w:rPr>
                <w:rFonts w:hint="eastAsia"/>
              </w:rPr>
              <w:t>，建设供水供电工程1套及环保消防设施1套；新建滴管系统3258亩；田间道路2m宽生产路改3米硬化17059.50m2，3米宽生产路硬化19723.67m2 ；新建展示大棚25968m</w:t>
            </w:r>
            <w:r>
              <w:rPr>
                <w:rFonts w:hint="eastAsia"/>
                <w:vertAlign w:val="superscript"/>
              </w:rPr>
              <w:t>2</w:t>
            </w:r>
            <w:r>
              <w:rPr>
                <w:rFonts w:hint="eastAsia"/>
              </w:rPr>
              <w:t>；2.5m宽道路379.38m。</w:t>
            </w:r>
          </w:p>
        </w:tc>
        <w:tc>
          <w:tcPr>
            <w:tcW w:w="997" w:type="dxa"/>
            <w:shd w:val="clear" w:color="auto" w:fill="auto"/>
            <w:vAlign w:val="center"/>
          </w:tcPr>
          <w:p>
            <w:pPr>
              <w:pStyle w:val="52"/>
            </w:pPr>
            <w:r>
              <w:rPr>
                <w:rFonts w:hint="eastAsia"/>
              </w:rPr>
              <w:t>2021年--2023年</w:t>
            </w:r>
          </w:p>
        </w:tc>
        <w:tc>
          <w:tcPr>
            <w:tcW w:w="886" w:type="dxa"/>
            <w:shd w:val="clear" w:color="auto" w:fill="auto"/>
            <w:noWrap/>
            <w:vAlign w:val="center"/>
          </w:tcPr>
          <w:p>
            <w:pPr>
              <w:pStyle w:val="52"/>
            </w:pPr>
            <w:r>
              <w:rPr>
                <w:rFonts w:hint="eastAsia"/>
              </w:rPr>
              <w:t>2483.00</w:t>
            </w:r>
          </w:p>
        </w:tc>
        <w:tc>
          <w:tcPr>
            <w:tcW w:w="780" w:type="dxa"/>
            <w:shd w:val="clear" w:color="auto" w:fill="auto"/>
            <w:noWrap/>
            <w:vAlign w:val="center"/>
          </w:tcPr>
          <w:p>
            <w:pPr>
              <w:pStyle w:val="52"/>
            </w:pPr>
            <w:r>
              <w:rPr>
                <w:rFonts w:hint="eastAsia"/>
              </w:rPr>
              <w:t>3834</w:t>
            </w:r>
          </w:p>
        </w:tc>
        <w:tc>
          <w:tcPr>
            <w:tcW w:w="778" w:type="dxa"/>
            <w:shd w:val="clear" w:color="auto" w:fill="auto"/>
            <w:noWrap/>
            <w:vAlign w:val="center"/>
          </w:tcPr>
          <w:p>
            <w:pPr>
              <w:pStyle w:val="52"/>
            </w:pPr>
            <w:r>
              <w:rPr>
                <w:rFonts w:hint="eastAsia"/>
              </w:rPr>
              <w:t>3834</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tblHeader/>
          <w:jc w:val="center"/>
        </w:trPr>
        <w:tc>
          <w:tcPr>
            <w:tcW w:w="426" w:type="dxa"/>
            <w:shd w:val="clear" w:color="auto" w:fill="auto"/>
            <w:noWrap/>
            <w:vAlign w:val="center"/>
          </w:tcPr>
          <w:p>
            <w:pPr>
              <w:pStyle w:val="52"/>
            </w:pPr>
            <w:r>
              <w:rPr>
                <w:rFonts w:hint="eastAsia"/>
              </w:rPr>
              <w:t>4</w:t>
            </w:r>
          </w:p>
        </w:tc>
        <w:tc>
          <w:tcPr>
            <w:tcW w:w="1962" w:type="dxa"/>
            <w:shd w:val="clear" w:color="auto" w:fill="auto"/>
            <w:vAlign w:val="center"/>
          </w:tcPr>
          <w:p>
            <w:pPr>
              <w:pStyle w:val="52"/>
              <w:jc w:val="left"/>
            </w:pPr>
            <w:r>
              <w:rPr>
                <w:rFonts w:hint="eastAsia"/>
              </w:rPr>
              <w:t>元谋县瓦渣箐安置点高原特色农业发展示范项目</w:t>
            </w:r>
          </w:p>
        </w:tc>
        <w:tc>
          <w:tcPr>
            <w:tcW w:w="3243" w:type="dxa"/>
            <w:shd w:val="clear" w:color="auto" w:fill="auto"/>
            <w:vAlign w:val="center"/>
          </w:tcPr>
          <w:p>
            <w:pPr>
              <w:pStyle w:val="52"/>
              <w:jc w:val="left"/>
            </w:pPr>
            <w:r>
              <w:rPr>
                <w:rFonts w:hint="eastAsia"/>
              </w:rPr>
              <w:t>扩建交易大棚2001.00 m</w:t>
            </w:r>
            <w:r>
              <w:rPr>
                <w:rFonts w:hint="eastAsia"/>
                <w:vertAlign w:val="superscript"/>
              </w:rPr>
              <w:t>2</w:t>
            </w:r>
            <w:r>
              <w:rPr>
                <w:rFonts w:hint="eastAsia"/>
              </w:rPr>
              <w:t>，新建管理用房310.96 m</w:t>
            </w:r>
            <w:r>
              <w:rPr>
                <w:rFonts w:hint="eastAsia"/>
                <w:vertAlign w:val="superscript"/>
              </w:rPr>
              <w:t>2</w:t>
            </w:r>
            <w:r>
              <w:rPr>
                <w:rFonts w:hint="eastAsia"/>
              </w:rPr>
              <w:t>，初加工及储藏间388.24 m</w:t>
            </w:r>
            <w:r>
              <w:rPr>
                <w:rFonts w:hint="eastAsia"/>
                <w:vertAlign w:val="superscript"/>
              </w:rPr>
              <w:t>2</w:t>
            </w:r>
            <w:r>
              <w:rPr>
                <w:rFonts w:hint="eastAsia"/>
              </w:rPr>
              <w:t>，场地道路硬化7476.80 m</w:t>
            </w:r>
            <w:r>
              <w:rPr>
                <w:rFonts w:hint="eastAsia"/>
                <w:vertAlign w:val="superscript"/>
              </w:rPr>
              <w:t>2</w:t>
            </w:r>
            <w:r>
              <w:rPr>
                <w:rFonts w:hint="eastAsia"/>
              </w:rPr>
              <w:t>，场地平整71239.00 m</w:t>
            </w:r>
            <w:r>
              <w:rPr>
                <w:rFonts w:hint="eastAsia"/>
                <w:vertAlign w:val="superscript"/>
              </w:rPr>
              <w:t>3</w:t>
            </w:r>
            <w:r>
              <w:rPr>
                <w:rFonts w:hint="eastAsia"/>
              </w:rPr>
              <w:t>，新建供水供电工程1套及环保消防设施1套；新建滴管系统3706亩；农业田间生产路扩宽硬化18840.72m</w:t>
            </w:r>
            <w:r>
              <w:rPr>
                <w:rFonts w:hint="eastAsia"/>
                <w:vertAlign w:val="superscript"/>
              </w:rPr>
              <w:t>2</w:t>
            </w:r>
            <w:r>
              <w:rPr>
                <w:rFonts w:hint="eastAsia"/>
              </w:rPr>
              <w:t>；新建展示大棚21792.00m</w:t>
            </w:r>
            <w:r>
              <w:rPr>
                <w:rFonts w:hint="eastAsia"/>
                <w:vertAlign w:val="superscript"/>
              </w:rPr>
              <w:t>2</w:t>
            </w:r>
            <w:r>
              <w:rPr>
                <w:rFonts w:hint="eastAsia"/>
              </w:rPr>
              <w:t>，新建2m宽道路444.40m。</w:t>
            </w:r>
          </w:p>
        </w:tc>
        <w:tc>
          <w:tcPr>
            <w:tcW w:w="997" w:type="dxa"/>
            <w:shd w:val="clear" w:color="auto" w:fill="auto"/>
            <w:vAlign w:val="center"/>
          </w:tcPr>
          <w:p>
            <w:pPr>
              <w:pStyle w:val="52"/>
            </w:pPr>
            <w:r>
              <w:rPr>
                <w:rFonts w:hint="eastAsia"/>
              </w:rPr>
              <w:t>2021年--2023年</w:t>
            </w:r>
          </w:p>
        </w:tc>
        <w:tc>
          <w:tcPr>
            <w:tcW w:w="886" w:type="dxa"/>
            <w:shd w:val="clear" w:color="auto" w:fill="auto"/>
            <w:noWrap/>
            <w:vAlign w:val="center"/>
          </w:tcPr>
          <w:p>
            <w:pPr>
              <w:pStyle w:val="52"/>
            </w:pPr>
            <w:r>
              <w:rPr>
                <w:rFonts w:hint="eastAsia"/>
              </w:rPr>
              <w:t>2350.00</w:t>
            </w:r>
          </w:p>
        </w:tc>
        <w:tc>
          <w:tcPr>
            <w:tcW w:w="780" w:type="dxa"/>
            <w:shd w:val="clear" w:color="auto" w:fill="auto"/>
            <w:noWrap/>
            <w:vAlign w:val="center"/>
          </w:tcPr>
          <w:p>
            <w:pPr>
              <w:pStyle w:val="52"/>
            </w:pPr>
            <w:r>
              <w:rPr>
                <w:rFonts w:hint="eastAsia"/>
              </w:rPr>
              <w:t>4184</w:t>
            </w:r>
          </w:p>
        </w:tc>
        <w:tc>
          <w:tcPr>
            <w:tcW w:w="778" w:type="dxa"/>
            <w:shd w:val="clear" w:color="auto" w:fill="auto"/>
            <w:noWrap/>
            <w:vAlign w:val="center"/>
          </w:tcPr>
          <w:p>
            <w:pPr>
              <w:pStyle w:val="52"/>
            </w:pPr>
            <w:r>
              <w:rPr>
                <w:rFonts w:hint="eastAsia"/>
              </w:rPr>
              <w:t>4184</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tblHeader/>
          <w:jc w:val="center"/>
        </w:trPr>
        <w:tc>
          <w:tcPr>
            <w:tcW w:w="426" w:type="dxa"/>
            <w:shd w:val="clear" w:color="auto" w:fill="auto"/>
            <w:noWrap/>
            <w:vAlign w:val="center"/>
          </w:tcPr>
          <w:p>
            <w:pPr>
              <w:pStyle w:val="52"/>
            </w:pPr>
            <w:r>
              <w:rPr>
                <w:rFonts w:hint="eastAsia"/>
              </w:rPr>
              <w:t>5</w:t>
            </w:r>
          </w:p>
        </w:tc>
        <w:tc>
          <w:tcPr>
            <w:tcW w:w="1962" w:type="dxa"/>
            <w:shd w:val="clear" w:color="auto" w:fill="auto"/>
            <w:vAlign w:val="center"/>
          </w:tcPr>
          <w:p>
            <w:pPr>
              <w:pStyle w:val="52"/>
              <w:jc w:val="left"/>
            </w:pPr>
            <w:r>
              <w:rPr>
                <w:rFonts w:hint="eastAsia"/>
              </w:rPr>
              <w:t>元谋县甘塘安置点高原特色农业发展示范项目</w:t>
            </w:r>
          </w:p>
        </w:tc>
        <w:tc>
          <w:tcPr>
            <w:tcW w:w="3243" w:type="dxa"/>
            <w:shd w:val="clear" w:color="auto" w:fill="auto"/>
            <w:vAlign w:val="center"/>
          </w:tcPr>
          <w:p>
            <w:pPr>
              <w:pStyle w:val="52"/>
              <w:jc w:val="left"/>
            </w:pPr>
            <w:r>
              <w:rPr>
                <w:rFonts w:hint="eastAsia"/>
              </w:rPr>
              <w:t>新建交易棚2001.00m</w:t>
            </w:r>
            <w:r>
              <w:rPr>
                <w:rFonts w:hint="eastAsia"/>
                <w:vertAlign w:val="superscript"/>
              </w:rPr>
              <w:t>2</w:t>
            </w:r>
            <w:r>
              <w:rPr>
                <w:rFonts w:hint="eastAsia"/>
              </w:rPr>
              <w:t>，管理用房388.24m</w:t>
            </w:r>
            <w:r>
              <w:rPr>
                <w:rFonts w:hint="eastAsia"/>
                <w:vertAlign w:val="superscript"/>
              </w:rPr>
              <w:t>2</w:t>
            </w:r>
            <w:r>
              <w:rPr>
                <w:rFonts w:hint="eastAsia"/>
              </w:rPr>
              <w:t>，初加工及仓储间388.24 m</w:t>
            </w:r>
            <w:r>
              <w:rPr>
                <w:rFonts w:hint="eastAsia"/>
                <w:vertAlign w:val="superscript"/>
              </w:rPr>
              <w:t>2</w:t>
            </w:r>
            <w:r>
              <w:rPr>
                <w:rFonts w:hint="eastAsia"/>
              </w:rPr>
              <w:t>，场地道路硬化4059.22m</w:t>
            </w:r>
            <w:r>
              <w:rPr>
                <w:rFonts w:hint="eastAsia"/>
                <w:vertAlign w:val="superscript"/>
              </w:rPr>
              <w:t>2</w:t>
            </w:r>
            <w:r>
              <w:rPr>
                <w:rFonts w:hint="eastAsia"/>
              </w:rPr>
              <w:t>，供水供电系统1套，环保消防设施1套；新建滴管系统2409亩；田间道路拓宽硬化49565.13 m</w:t>
            </w:r>
            <w:r>
              <w:rPr>
                <w:rFonts w:hint="eastAsia"/>
                <w:vertAlign w:val="superscript"/>
              </w:rPr>
              <w:t>2</w:t>
            </w:r>
            <w:r>
              <w:rPr>
                <w:rFonts w:hint="eastAsia"/>
              </w:rPr>
              <w:t>，生产路拓宽硬化2115.99 m</w:t>
            </w:r>
            <w:r>
              <w:rPr>
                <w:rFonts w:hint="eastAsia"/>
                <w:vertAlign w:val="superscript"/>
              </w:rPr>
              <w:t>2</w:t>
            </w:r>
            <w:r>
              <w:rPr>
                <w:rFonts w:hint="eastAsia"/>
              </w:rPr>
              <w:t>；新建展示大棚25872.00 m</w:t>
            </w:r>
            <w:r>
              <w:rPr>
                <w:rFonts w:hint="eastAsia"/>
                <w:vertAlign w:val="superscript"/>
              </w:rPr>
              <w:t>2</w:t>
            </w:r>
            <w:r>
              <w:rPr>
                <w:rFonts w:hint="eastAsia"/>
              </w:rPr>
              <w:t>，新建2.5m宽道路908.96m。</w:t>
            </w:r>
          </w:p>
        </w:tc>
        <w:tc>
          <w:tcPr>
            <w:tcW w:w="997" w:type="dxa"/>
            <w:shd w:val="clear" w:color="auto" w:fill="auto"/>
            <w:vAlign w:val="center"/>
          </w:tcPr>
          <w:p>
            <w:pPr>
              <w:pStyle w:val="52"/>
            </w:pPr>
            <w:r>
              <w:rPr>
                <w:rFonts w:hint="eastAsia"/>
              </w:rPr>
              <w:t>2021年--2023年</w:t>
            </w:r>
          </w:p>
        </w:tc>
        <w:tc>
          <w:tcPr>
            <w:tcW w:w="886" w:type="dxa"/>
            <w:shd w:val="clear" w:color="auto" w:fill="auto"/>
            <w:noWrap/>
            <w:vAlign w:val="center"/>
          </w:tcPr>
          <w:p>
            <w:pPr>
              <w:pStyle w:val="52"/>
            </w:pPr>
            <w:r>
              <w:rPr>
                <w:rFonts w:hint="eastAsia"/>
              </w:rPr>
              <w:t>2350.00</w:t>
            </w:r>
          </w:p>
        </w:tc>
        <w:tc>
          <w:tcPr>
            <w:tcW w:w="780" w:type="dxa"/>
            <w:shd w:val="clear" w:color="auto" w:fill="auto"/>
            <w:noWrap/>
            <w:vAlign w:val="center"/>
          </w:tcPr>
          <w:p>
            <w:pPr>
              <w:pStyle w:val="52"/>
            </w:pPr>
            <w:r>
              <w:rPr>
                <w:rFonts w:hint="eastAsia"/>
              </w:rPr>
              <w:t>2562</w:t>
            </w:r>
          </w:p>
        </w:tc>
        <w:tc>
          <w:tcPr>
            <w:tcW w:w="778" w:type="dxa"/>
            <w:shd w:val="clear" w:color="auto" w:fill="auto"/>
            <w:noWrap/>
            <w:vAlign w:val="center"/>
          </w:tcPr>
          <w:p>
            <w:pPr>
              <w:pStyle w:val="52"/>
            </w:pPr>
            <w:r>
              <w:rPr>
                <w:rFonts w:hint="eastAsia"/>
              </w:rPr>
              <w:t>2562</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tblHeader/>
          <w:jc w:val="center"/>
        </w:trPr>
        <w:tc>
          <w:tcPr>
            <w:tcW w:w="426" w:type="dxa"/>
            <w:shd w:val="clear" w:color="auto" w:fill="auto"/>
            <w:noWrap/>
            <w:vAlign w:val="center"/>
          </w:tcPr>
          <w:p>
            <w:pPr>
              <w:pStyle w:val="52"/>
            </w:pPr>
            <w:r>
              <w:rPr>
                <w:rFonts w:hint="eastAsia"/>
              </w:rPr>
              <w:t>6</w:t>
            </w:r>
          </w:p>
        </w:tc>
        <w:tc>
          <w:tcPr>
            <w:tcW w:w="1962" w:type="dxa"/>
            <w:shd w:val="clear" w:color="auto" w:fill="auto"/>
            <w:vAlign w:val="center"/>
          </w:tcPr>
          <w:p>
            <w:pPr>
              <w:pStyle w:val="52"/>
              <w:jc w:val="left"/>
            </w:pPr>
            <w:r>
              <w:rPr>
                <w:rFonts w:hint="eastAsia"/>
              </w:rPr>
              <w:t>元谋县新村、班庄、四保、平地姬松茸培育项目</w:t>
            </w:r>
          </w:p>
        </w:tc>
        <w:tc>
          <w:tcPr>
            <w:tcW w:w="3243" w:type="dxa"/>
            <w:shd w:val="clear" w:color="auto" w:fill="auto"/>
            <w:vAlign w:val="center"/>
          </w:tcPr>
          <w:p>
            <w:pPr>
              <w:pStyle w:val="52"/>
              <w:jc w:val="left"/>
            </w:pPr>
            <w:r>
              <w:rPr>
                <w:rFonts w:hint="eastAsia"/>
              </w:rPr>
              <w:t>建设规范化姬松茸种植大棚5个，水电路配套和制菌原料储备。</w:t>
            </w:r>
          </w:p>
        </w:tc>
        <w:tc>
          <w:tcPr>
            <w:tcW w:w="997" w:type="dxa"/>
            <w:shd w:val="clear" w:color="auto" w:fill="auto"/>
            <w:vAlign w:val="center"/>
          </w:tcPr>
          <w:p>
            <w:pPr>
              <w:pStyle w:val="52"/>
            </w:pPr>
            <w:r>
              <w:rPr>
                <w:rFonts w:hint="eastAsia"/>
              </w:rPr>
              <w:t>2021年-2023年</w:t>
            </w:r>
          </w:p>
        </w:tc>
        <w:tc>
          <w:tcPr>
            <w:tcW w:w="886" w:type="dxa"/>
            <w:shd w:val="clear" w:color="auto" w:fill="auto"/>
            <w:noWrap/>
            <w:vAlign w:val="center"/>
          </w:tcPr>
          <w:p>
            <w:pPr>
              <w:pStyle w:val="52"/>
            </w:pPr>
            <w:r>
              <w:rPr>
                <w:rFonts w:hint="eastAsia"/>
              </w:rPr>
              <w:t>125.00</w:t>
            </w:r>
          </w:p>
        </w:tc>
        <w:tc>
          <w:tcPr>
            <w:tcW w:w="780" w:type="dxa"/>
            <w:shd w:val="clear" w:color="auto" w:fill="auto"/>
            <w:noWrap/>
            <w:vAlign w:val="center"/>
          </w:tcPr>
          <w:p>
            <w:pPr>
              <w:pStyle w:val="52"/>
            </w:pPr>
            <w:r>
              <w:rPr>
                <w:rFonts w:hint="eastAsia"/>
              </w:rPr>
              <w:t>4458</w:t>
            </w:r>
          </w:p>
        </w:tc>
        <w:tc>
          <w:tcPr>
            <w:tcW w:w="778" w:type="dxa"/>
            <w:shd w:val="clear" w:color="auto" w:fill="auto"/>
            <w:noWrap/>
            <w:vAlign w:val="center"/>
          </w:tcPr>
          <w:p>
            <w:pPr>
              <w:pStyle w:val="52"/>
            </w:pPr>
            <w:r>
              <w:rPr>
                <w:rFonts w:hint="eastAsia"/>
              </w:rPr>
              <w:t>381</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tblHeader/>
          <w:jc w:val="center"/>
        </w:trPr>
        <w:tc>
          <w:tcPr>
            <w:tcW w:w="426" w:type="dxa"/>
            <w:shd w:val="clear" w:color="auto" w:fill="auto"/>
            <w:noWrap/>
            <w:vAlign w:val="center"/>
          </w:tcPr>
          <w:p>
            <w:pPr>
              <w:pStyle w:val="52"/>
            </w:pPr>
            <w:r>
              <w:rPr>
                <w:rFonts w:hint="eastAsia"/>
              </w:rPr>
              <w:t>7</w:t>
            </w:r>
          </w:p>
        </w:tc>
        <w:tc>
          <w:tcPr>
            <w:tcW w:w="1962" w:type="dxa"/>
            <w:shd w:val="clear" w:color="auto" w:fill="auto"/>
            <w:vAlign w:val="center"/>
          </w:tcPr>
          <w:p>
            <w:pPr>
              <w:pStyle w:val="52"/>
              <w:jc w:val="left"/>
            </w:pPr>
            <w:r>
              <w:rPr>
                <w:rFonts w:hint="eastAsia"/>
              </w:rPr>
              <w:t>元谋县元马镇乐甫村委会千亩大青枣产业发展项目</w:t>
            </w:r>
          </w:p>
        </w:tc>
        <w:tc>
          <w:tcPr>
            <w:tcW w:w="3243" w:type="dxa"/>
            <w:shd w:val="clear" w:color="auto" w:fill="auto"/>
            <w:vAlign w:val="center"/>
          </w:tcPr>
          <w:p>
            <w:pPr>
              <w:pStyle w:val="52"/>
              <w:jc w:val="left"/>
            </w:pPr>
            <w:r>
              <w:rPr>
                <w:rFonts w:hint="eastAsia"/>
              </w:rPr>
              <w:t>新建田间道路3条共3.8km,宽3m,新建0.4*0.5渠道1km，新建抽水泵站1座，物理杀虫灯110盏</w:t>
            </w:r>
          </w:p>
        </w:tc>
        <w:tc>
          <w:tcPr>
            <w:tcW w:w="997" w:type="dxa"/>
            <w:shd w:val="clear" w:color="auto" w:fill="auto"/>
            <w:vAlign w:val="center"/>
          </w:tcPr>
          <w:p>
            <w:pPr>
              <w:pStyle w:val="52"/>
            </w:pPr>
            <w:r>
              <w:rPr>
                <w:rFonts w:hint="eastAsia"/>
              </w:rPr>
              <w:t>2022年--2023年</w:t>
            </w:r>
          </w:p>
        </w:tc>
        <w:tc>
          <w:tcPr>
            <w:tcW w:w="886" w:type="dxa"/>
            <w:shd w:val="clear" w:color="auto" w:fill="auto"/>
            <w:noWrap/>
            <w:vAlign w:val="center"/>
          </w:tcPr>
          <w:p>
            <w:pPr>
              <w:pStyle w:val="52"/>
            </w:pPr>
            <w:r>
              <w:rPr>
                <w:rFonts w:hint="eastAsia"/>
              </w:rPr>
              <w:t>343.00</w:t>
            </w:r>
          </w:p>
        </w:tc>
        <w:tc>
          <w:tcPr>
            <w:tcW w:w="780" w:type="dxa"/>
            <w:shd w:val="clear" w:color="auto" w:fill="auto"/>
            <w:noWrap/>
            <w:vAlign w:val="center"/>
          </w:tcPr>
          <w:p>
            <w:pPr>
              <w:pStyle w:val="52"/>
            </w:pPr>
            <w:r>
              <w:rPr>
                <w:rFonts w:hint="eastAsia"/>
              </w:rPr>
              <w:t>3614</w:t>
            </w:r>
          </w:p>
        </w:tc>
        <w:tc>
          <w:tcPr>
            <w:tcW w:w="778" w:type="dxa"/>
            <w:shd w:val="clear" w:color="auto" w:fill="auto"/>
            <w:noWrap/>
            <w:vAlign w:val="center"/>
          </w:tcPr>
          <w:p>
            <w:pPr>
              <w:pStyle w:val="52"/>
            </w:pPr>
            <w:r>
              <w:rPr>
                <w:rFonts w:hint="eastAsia"/>
              </w:rPr>
              <w:t>267</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tblHeader/>
          <w:jc w:val="center"/>
        </w:trPr>
        <w:tc>
          <w:tcPr>
            <w:tcW w:w="426" w:type="dxa"/>
            <w:shd w:val="clear" w:color="auto" w:fill="auto"/>
            <w:noWrap/>
            <w:vAlign w:val="center"/>
          </w:tcPr>
          <w:p>
            <w:pPr>
              <w:pStyle w:val="52"/>
              <w:rPr>
                <w:rFonts w:hint="eastAsia"/>
              </w:rPr>
            </w:pPr>
            <w:r>
              <w:rPr>
                <w:rFonts w:hint="eastAsia"/>
              </w:rPr>
              <w:t>8</w:t>
            </w:r>
          </w:p>
        </w:tc>
        <w:tc>
          <w:tcPr>
            <w:tcW w:w="1962" w:type="dxa"/>
            <w:shd w:val="clear" w:color="auto" w:fill="auto"/>
            <w:vAlign w:val="center"/>
          </w:tcPr>
          <w:p>
            <w:pPr>
              <w:pStyle w:val="52"/>
              <w:jc w:val="left"/>
              <w:rPr>
                <w:rFonts w:hint="eastAsia"/>
              </w:rPr>
            </w:pPr>
            <w:r>
              <w:rPr>
                <w:rFonts w:hint="eastAsia"/>
              </w:rPr>
              <w:t>元谋县乌东德水电站搬迁村组集体经济发展项目</w:t>
            </w:r>
          </w:p>
        </w:tc>
        <w:tc>
          <w:tcPr>
            <w:tcW w:w="3243" w:type="dxa"/>
            <w:shd w:val="clear" w:color="auto" w:fill="auto"/>
            <w:vAlign w:val="center"/>
          </w:tcPr>
          <w:p>
            <w:pPr>
              <w:pStyle w:val="52"/>
              <w:jc w:val="left"/>
              <w:rPr>
                <w:rFonts w:hint="eastAsia"/>
              </w:rPr>
            </w:pPr>
            <w:r>
              <w:rPr>
                <w:rFonts w:hint="eastAsia"/>
              </w:rPr>
              <w:t>新建体验式标准化果蔬采摘园、特色旅游商品交易市场、抽水站，公共服务设施、环卫设施、给排水、环保、道路、硬化等</w:t>
            </w:r>
          </w:p>
        </w:tc>
        <w:tc>
          <w:tcPr>
            <w:tcW w:w="997" w:type="dxa"/>
            <w:shd w:val="clear" w:color="auto" w:fill="auto"/>
            <w:vAlign w:val="center"/>
          </w:tcPr>
          <w:p>
            <w:pPr>
              <w:pStyle w:val="52"/>
              <w:rPr>
                <w:rFonts w:hint="eastAsia"/>
              </w:rPr>
            </w:pPr>
            <w:r>
              <w:rPr>
                <w:rFonts w:hint="eastAsia"/>
              </w:rPr>
              <w:t>2021年-2025年</w:t>
            </w:r>
          </w:p>
        </w:tc>
        <w:tc>
          <w:tcPr>
            <w:tcW w:w="886" w:type="dxa"/>
            <w:shd w:val="clear" w:color="auto" w:fill="auto"/>
            <w:noWrap/>
            <w:vAlign w:val="center"/>
          </w:tcPr>
          <w:p>
            <w:pPr>
              <w:pStyle w:val="52"/>
              <w:rPr>
                <w:rFonts w:hint="eastAsia"/>
              </w:rPr>
            </w:pPr>
            <w:r>
              <w:rPr>
                <w:rFonts w:hint="eastAsia"/>
              </w:rPr>
              <w:t>500.00</w:t>
            </w:r>
          </w:p>
        </w:tc>
        <w:tc>
          <w:tcPr>
            <w:tcW w:w="780" w:type="dxa"/>
            <w:shd w:val="clear" w:color="auto" w:fill="auto"/>
            <w:noWrap/>
            <w:vAlign w:val="center"/>
          </w:tcPr>
          <w:p>
            <w:pPr>
              <w:pStyle w:val="52"/>
              <w:rPr>
                <w:rFonts w:hint="eastAsia"/>
              </w:rPr>
            </w:pPr>
            <w:r>
              <w:rPr>
                <w:rFonts w:hint="eastAsia"/>
              </w:rPr>
              <w:t>10580</w:t>
            </w:r>
          </w:p>
        </w:tc>
        <w:tc>
          <w:tcPr>
            <w:tcW w:w="778" w:type="dxa"/>
            <w:shd w:val="clear" w:color="auto" w:fill="auto"/>
            <w:noWrap/>
            <w:vAlign w:val="center"/>
          </w:tcPr>
          <w:p>
            <w:pPr>
              <w:pStyle w:val="52"/>
              <w:rPr>
                <w:rFonts w:hint="eastAsia"/>
              </w:rPr>
            </w:pPr>
            <w:r>
              <w:rPr>
                <w:rFonts w:hint="eastAsia"/>
              </w:rPr>
              <w:t>10580</w:t>
            </w:r>
          </w:p>
        </w:tc>
      </w:tr>
    </w:tbl>
    <w:p>
      <w:pPr>
        <w:widowControl/>
        <w:jc w:val="left"/>
        <w:rPr>
          <w:rFonts w:ascii="Times New Roman" w:hAnsi="Times New Roman" w:eastAsia="黑体" w:cs="Times New Roman"/>
          <w:kern w:val="44"/>
          <w:sz w:val="36"/>
          <w:szCs w:val="36"/>
        </w:rPr>
      </w:pPr>
      <w:r>
        <w:rPr>
          <w:rFonts w:ascii="Times New Roman" w:cs="Times New Roman"/>
        </w:rPr>
        <w:br w:type="page"/>
      </w:r>
    </w:p>
    <w:p>
      <w:pPr>
        <w:pStyle w:val="2"/>
        <w:rPr>
          <w:rFonts w:hAnsi="Times New Roman" w:cs="Times New Roman"/>
        </w:rPr>
      </w:pPr>
      <w:bookmarkStart w:id="68" w:name="_Toc86914843"/>
      <w:r>
        <w:rPr>
          <w:rFonts w:hAnsi="Times New Roman" w:cs="Times New Roman"/>
        </w:rPr>
        <w:t>7</w:t>
      </w:r>
      <w:r>
        <w:rPr>
          <w:rFonts w:hint="eastAsia" w:hAnsi="Times New Roman" w:cs="Times New Roman"/>
        </w:rPr>
        <w:t>　就业创业能力建设和就业扶持规划</w:t>
      </w:r>
      <w:bookmarkEnd w:id="68"/>
    </w:p>
    <w:p>
      <w:pPr>
        <w:pStyle w:val="43"/>
        <w:ind w:firstLine="560"/>
        <w:rPr>
          <w:lang w:bidi="en-US"/>
        </w:rPr>
      </w:pPr>
      <w:r>
        <w:rPr>
          <w:rFonts w:hint="eastAsia"/>
          <w:lang w:bidi="en-US"/>
        </w:rPr>
        <w:t>元谋县移民就业创业培训规划重点围绕产业发展要求，把立足建成</w:t>
      </w:r>
      <w:r>
        <w:rPr>
          <w:lang w:bidi="en-US"/>
        </w:rPr>
        <w:t>“</w:t>
      </w:r>
      <w:r>
        <w:rPr>
          <w:rFonts w:hint="eastAsia"/>
          <w:lang w:bidi="en-US"/>
        </w:rPr>
        <w:t>旅游</w:t>
      </w:r>
      <w:r>
        <w:rPr>
          <w:lang w:bidi="en-US"/>
        </w:rPr>
        <w:t>+”</w:t>
      </w:r>
      <w:r>
        <w:rPr>
          <w:rFonts w:hint="eastAsia"/>
          <w:lang w:bidi="en-US"/>
        </w:rPr>
        <w:t>产业为主导的现代服务业体系作为就业创业培训的出发点和落脚点，围绕元谋县全域旅游发展工作主线，以休闲农业为导向，以提质增效和农民增收为目标，着力培育壮大新型农业经营主体，加快推进农业转型升级，促进旅游产业、特色加工业产业和特色种植产业做大做强。</w:t>
      </w:r>
    </w:p>
    <w:p>
      <w:pPr>
        <w:pStyle w:val="43"/>
        <w:ind w:firstLine="560"/>
        <w:rPr>
          <w:lang w:bidi="en-US"/>
        </w:rPr>
      </w:pPr>
      <w:r>
        <w:rPr>
          <w:rFonts w:hint="eastAsia"/>
          <w:lang w:bidi="en-US"/>
        </w:rPr>
        <w:t>重点围绕产业发展要求，扶持产业技能培训，培养富有工匠精神的产业技能人才队伍，促进产业开花结果；积极开展新型职业农民培训，培育懂农业、爱农村、善于致富带富的农村带头人队伍，确保移民村支柱产业稳定运行，通过培训新型职业农民，快速高效发展现代化种植业；对移民劳动力开展岗位技能提升培训，提升移民生态食品、旅游产品加工艺水平、商务贸易水平、旅游服务水平等二三产业水平，提升岗位技能水平和适应转岗就业的需要，满足产业升级和技术进步要求，实现稳岗敬业，通过人才培养促进产业进步。</w:t>
      </w:r>
    </w:p>
    <w:p>
      <w:pPr>
        <w:pStyle w:val="3"/>
        <w:rPr>
          <w:rFonts w:hAnsi="Times New Roman" w:cs="Times New Roman"/>
          <w:szCs w:val="36"/>
        </w:rPr>
      </w:pPr>
      <w:bookmarkStart w:id="69" w:name="_Toc86914844"/>
      <w:r>
        <w:rPr>
          <w:rFonts w:hAnsi="Times New Roman" w:cs="Times New Roman"/>
          <w:szCs w:val="36"/>
        </w:rPr>
        <w:t>7.1</w:t>
      </w:r>
      <w:r>
        <w:rPr>
          <w:rFonts w:hint="eastAsia" w:hAnsi="Times New Roman" w:cs="Times New Roman"/>
          <w:szCs w:val="36"/>
        </w:rPr>
        <w:t>　移民劳动力现状及存在的问题</w:t>
      </w:r>
      <w:bookmarkEnd w:id="69"/>
    </w:p>
    <w:p>
      <w:pPr>
        <w:pStyle w:val="43"/>
        <w:ind w:firstLine="560"/>
        <w:rPr>
          <w:lang w:bidi="en-US"/>
        </w:rPr>
      </w:pPr>
      <w:r>
        <w:rPr>
          <w:rFonts w:hint="eastAsia"/>
          <w:lang w:bidi="en-US"/>
        </w:rPr>
        <w:t>元谋县劳动力存在以下几点问题：</w:t>
      </w:r>
    </w:p>
    <w:p>
      <w:pPr>
        <w:pStyle w:val="43"/>
        <w:ind w:firstLine="560"/>
        <w:rPr>
          <w:lang w:bidi="en-US"/>
        </w:rPr>
      </w:pPr>
      <w:r>
        <w:rPr>
          <w:rFonts w:hint="eastAsia"/>
          <w:lang w:bidi="en-US"/>
        </w:rPr>
        <w:t>（</w:t>
      </w:r>
      <w:r>
        <w:rPr>
          <w:lang w:bidi="en-US"/>
        </w:rPr>
        <w:t>1</w:t>
      </w:r>
      <w:r>
        <w:rPr>
          <w:rFonts w:hint="eastAsia"/>
          <w:lang w:bidi="en-US"/>
        </w:rPr>
        <w:t>）移民劳动力总体文化水平不高，除从事普通的农业生产外，缺乏其它致富领域的知识和技能，不能满足市场对人力资源的需求，长期处在就业结构底端，难以适应现代社会的发展，转移难度大。</w:t>
      </w:r>
    </w:p>
    <w:p>
      <w:pPr>
        <w:pStyle w:val="43"/>
        <w:ind w:firstLine="560"/>
        <w:rPr>
          <w:lang w:bidi="en-US"/>
        </w:rPr>
      </w:pPr>
      <w:r>
        <w:rPr>
          <w:rFonts w:hint="eastAsia"/>
          <w:lang w:bidi="en-US"/>
        </w:rPr>
        <w:t>（</w:t>
      </w:r>
      <w:r>
        <w:rPr>
          <w:lang w:bidi="en-US"/>
        </w:rPr>
        <w:t>2</w:t>
      </w:r>
      <w:r>
        <w:rPr>
          <w:rFonts w:hint="eastAsia"/>
          <w:lang w:bidi="en-US"/>
        </w:rPr>
        <w:t>）移民劳动力外出打工人数少，农民居多，多为劳动强度大或低附加值工作的体力劳动，劳动时间长、收益低，一旦遭遇经济危机或劳动力患病，整个家庭收入就会受到直接影响，极易返贫。</w:t>
      </w:r>
    </w:p>
    <w:p>
      <w:pPr>
        <w:pStyle w:val="43"/>
        <w:ind w:firstLine="560"/>
        <w:rPr>
          <w:lang w:bidi="en-US"/>
        </w:rPr>
      </w:pPr>
      <w:r>
        <w:rPr>
          <w:rFonts w:hint="eastAsia"/>
          <w:lang w:bidi="en-US"/>
        </w:rPr>
        <w:t>（</w:t>
      </w:r>
      <w:r>
        <w:rPr>
          <w:lang w:bidi="en-US"/>
        </w:rPr>
        <w:t>3</w:t>
      </w:r>
      <w:r>
        <w:rPr>
          <w:rFonts w:hint="eastAsia"/>
          <w:lang w:bidi="en-US"/>
        </w:rPr>
        <w:t>）由于库区区域相对封闭，基本公共服务不足，教育等公共服务体系建设水平不高，导致移民群众普遍缺乏创新意识，尤其移民远迁后，适应新环境的能力不足，至今还存在对环境、人际关系、生产生活方式等方面的不适应；有少部分移民依赖思想重，对政府扶持政策期望值过高，</w:t>
      </w:r>
      <w:r>
        <w:rPr>
          <w:lang w:bidi="en-US"/>
        </w:rPr>
        <w:t>“</w:t>
      </w:r>
      <w:r>
        <w:rPr>
          <w:rFonts w:hint="eastAsia"/>
          <w:lang w:bidi="en-US"/>
        </w:rPr>
        <w:t>等、靠、要</w:t>
      </w:r>
      <w:r>
        <w:rPr>
          <w:lang w:bidi="en-US"/>
        </w:rPr>
        <w:t>”</w:t>
      </w:r>
      <w:r>
        <w:rPr>
          <w:rFonts w:hint="eastAsia"/>
          <w:lang w:bidi="en-US"/>
        </w:rPr>
        <w:t>思想严重，对自己的生产、生活缺乏谋划，缺少长远规划。</w:t>
      </w:r>
    </w:p>
    <w:p>
      <w:pPr>
        <w:pStyle w:val="3"/>
        <w:rPr>
          <w:rFonts w:hAnsi="Times New Roman" w:cs="Times New Roman"/>
          <w:szCs w:val="36"/>
        </w:rPr>
      </w:pPr>
      <w:bookmarkStart w:id="70" w:name="_Toc86914845"/>
      <w:r>
        <w:rPr>
          <w:rFonts w:hAnsi="Times New Roman" w:cs="Times New Roman"/>
          <w:szCs w:val="36"/>
        </w:rPr>
        <w:t>7.2</w:t>
      </w:r>
      <w:r>
        <w:rPr>
          <w:rFonts w:hint="eastAsia" w:hAnsi="Times New Roman" w:cs="Times New Roman"/>
          <w:szCs w:val="36"/>
        </w:rPr>
        <w:t>　规划原则</w:t>
      </w:r>
      <w:bookmarkEnd w:id="70"/>
    </w:p>
    <w:p>
      <w:pPr>
        <w:pStyle w:val="54"/>
        <w:ind w:firstLine="560"/>
      </w:pPr>
      <w:r>
        <w:rPr>
          <w:rFonts w:hint="eastAsia"/>
        </w:rPr>
        <w:t>（</w:t>
      </w:r>
      <w:r>
        <w:t>1）坚持需求导向</w:t>
      </w:r>
    </w:p>
    <w:p>
      <w:pPr>
        <w:pStyle w:val="43"/>
        <w:ind w:firstLine="560"/>
        <w:rPr>
          <w:lang w:bidi="en-US"/>
        </w:rPr>
      </w:pPr>
      <w:r>
        <w:rPr>
          <w:rFonts w:hint="eastAsia"/>
          <w:lang w:bidi="en-US"/>
        </w:rPr>
        <w:t>以市场需求和移民需求为导向，开展多层次、多渠道、多形式的移民培训；</w:t>
      </w:r>
    </w:p>
    <w:p>
      <w:pPr>
        <w:pStyle w:val="54"/>
        <w:ind w:firstLine="560"/>
      </w:pPr>
      <w:r>
        <w:rPr>
          <w:rFonts w:hint="eastAsia"/>
        </w:rPr>
        <w:t>（</w:t>
      </w:r>
      <w:r>
        <w:t>2）坚持“政府领导，各部门协调、配合，移民积极参与”的原则</w:t>
      </w:r>
    </w:p>
    <w:p>
      <w:pPr>
        <w:pStyle w:val="43"/>
        <w:ind w:firstLine="560"/>
        <w:rPr>
          <w:lang w:bidi="en-US"/>
        </w:rPr>
      </w:pPr>
      <w:r>
        <w:rPr>
          <w:lang w:bidi="en-US"/>
        </w:rPr>
        <w:t>移民培训工作在县政府统一领导下组织实施，相关部门主动协调、配合，移民乡镇、村组积极宣传发动，鼓励广大移民群众踊跃参与移民培训；</w:t>
      </w:r>
    </w:p>
    <w:p>
      <w:pPr>
        <w:pStyle w:val="54"/>
        <w:ind w:firstLine="560"/>
      </w:pPr>
      <w:r>
        <w:rPr>
          <w:rFonts w:hint="eastAsia"/>
        </w:rPr>
        <w:t>（</w:t>
      </w:r>
      <w:r>
        <w:t>3）坚持科学合理整合培训资源的原则</w:t>
      </w:r>
    </w:p>
    <w:p>
      <w:pPr>
        <w:pStyle w:val="43"/>
        <w:ind w:firstLine="560"/>
        <w:rPr>
          <w:lang w:bidi="en-US"/>
        </w:rPr>
      </w:pPr>
      <w:r>
        <w:rPr>
          <w:rFonts w:hint="eastAsia"/>
          <w:lang w:bidi="en-US"/>
        </w:rPr>
        <w:t>充分发挥培训机构的积极性，依托大中专院校、科研院所及大中型企业技能培训方面的优势，着力开展移民劳动力高技能培训；</w:t>
      </w:r>
    </w:p>
    <w:p>
      <w:pPr>
        <w:pStyle w:val="54"/>
        <w:ind w:firstLine="560"/>
      </w:pPr>
      <w:r>
        <w:rPr>
          <w:rFonts w:hint="eastAsia"/>
        </w:rPr>
        <w:t>（</w:t>
      </w:r>
      <w:r>
        <w:t>4）坚持与当地产业发展相结合的原则</w:t>
      </w:r>
    </w:p>
    <w:p>
      <w:pPr>
        <w:pStyle w:val="43"/>
        <w:ind w:firstLine="560"/>
        <w:rPr>
          <w:lang w:bidi="en-US"/>
        </w:rPr>
      </w:pPr>
      <w:r>
        <w:rPr>
          <w:rFonts w:hint="eastAsia"/>
          <w:lang w:bidi="en-US"/>
        </w:rPr>
        <w:t>立足于当地优势产业，培养一批优势产业发展带头人和致富带头人，使其较熟练掌握优势产业生产流程及主要技术，提高移民增收致富本领。</w:t>
      </w:r>
    </w:p>
    <w:p>
      <w:pPr>
        <w:pStyle w:val="3"/>
        <w:rPr>
          <w:rFonts w:hAnsi="Times New Roman" w:cs="Times New Roman"/>
          <w:szCs w:val="36"/>
        </w:rPr>
      </w:pPr>
      <w:bookmarkStart w:id="71" w:name="_Toc86914846"/>
      <w:r>
        <w:rPr>
          <w:rFonts w:hAnsi="Times New Roman" w:cs="Times New Roman"/>
          <w:szCs w:val="36"/>
        </w:rPr>
        <w:t>7.3</w:t>
      </w:r>
      <w:r>
        <w:rPr>
          <w:rFonts w:hint="eastAsia" w:hAnsi="Times New Roman" w:cs="Times New Roman"/>
          <w:szCs w:val="36"/>
        </w:rPr>
        <w:t>　培训内容</w:t>
      </w:r>
      <w:bookmarkEnd w:id="71"/>
    </w:p>
    <w:p>
      <w:pPr>
        <w:pStyle w:val="43"/>
        <w:ind w:firstLine="560"/>
        <w:rPr>
          <w:lang w:bidi="en-US"/>
        </w:rPr>
      </w:pPr>
      <w:r>
        <w:rPr>
          <w:rFonts w:hint="eastAsia"/>
          <w:lang w:bidi="en-US"/>
        </w:rPr>
        <w:t>农村经济社会发展关键在人，劳动力素质起着决定性作用。没有智力和技能支持，个人难改贫穷命运；没有人力资源支撑，产业发展不会开花结果。针对劳动力目前文化程度低、就业能力差的问题，围绕产业发展要求，重点开展劳动力生产能力和就业能力培训，积极培育新型职业农民，培育一批科技带头人、致富带头人、创业带头和农业经营管理人才，全面提高劳动力素质和劳动力职业能力；积极推进移民就业岗位技能提升培训，拓宽农民增收渠道。</w:t>
      </w:r>
    </w:p>
    <w:p>
      <w:pPr>
        <w:pStyle w:val="43"/>
        <w:ind w:firstLine="560"/>
        <w:rPr>
          <w:lang w:bidi="en-US"/>
        </w:rPr>
      </w:pPr>
      <w:r>
        <w:rPr>
          <w:rFonts w:hint="eastAsia"/>
          <w:lang w:bidi="en-US"/>
        </w:rPr>
        <w:t>坚持市场机制。发挥市场在资源配置中的决定性作用，尊重农民意愿，突出问题导向，满足农民需求，调动农民参与培育的积极性；建立各类主体参与培育的有效机制，调动社会力量和市场主体参与的积极性，增强培育活力，规范培育行为，提高培育质量。</w:t>
      </w:r>
    </w:p>
    <w:p>
      <w:pPr>
        <w:pStyle w:val="43"/>
        <w:ind w:firstLine="560"/>
        <w:rPr>
          <w:lang w:bidi="en-US"/>
        </w:rPr>
      </w:pPr>
      <w:r>
        <w:rPr>
          <w:rFonts w:hint="eastAsia"/>
          <w:lang w:bidi="en-US"/>
        </w:rPr>
        <w:t>坚持立足产业。把立足建成</w:t>
      </w:r>
      <w:r>
        <w:rPr>
          <w:lang w:bidi="en-US"/>
        </w:rPr>
        <w:t>“</w:t>
      </w:r>
      <w:r>
        <w:rPr>
          <w:rFonts w:hint="eastAsia"/>
          <w:lang w:bidi="en-US"/>
        </w:rPr>
        <w:t>旅游</w:t>
      </w:r>
      <w:r>
        <w:rPr>
          <w:lang w:bidi="en-US"/>
        </w:rPr>
        <w:t>+”</w:t>
      </w:r>
      <w:r>
        <w:rPr>
          <w:rFonts w:hint="eastAsia"/>
          <w:lang w:bidi="en-US"/>
        </w:rPr>
        <w:t>产业为主导的现代服务业体系作为就业创业培训的出发点和落脚点，围绕元谋县全域旅游发展工作主线，以休闲农业为导向，以提质增效和农民增收为目标，着力培育壮大新型农业经营主体，加快推进农业转型升级，促进旅游产业、特色加工业产业和特色种植产业做大做强。</w:t>
      </w:r>
    </w:p>
    <w:p>
      <w:pPr>
        <w:pStyle w:val="43"/>
        <w:ind w:firstLine="560"/>
        <w:rPr>
          <w:lang w:bidi="en-US"/>
        </w:rPr>
      </w:pPr>
      <w:r>
        <w:rPr>
          <w:rFonts w:hint="eastAsia"/>
          <w:lang w:bidi="en-US"/>
        </w:rPr>
        <w:t>坚持精准培育。着眼构建新型职业农民队伍，科学遴选培育对象，分产业、分类型、分层级、分模块实施教育培训，强化规范管理、政策扶持和跟踪服务，把职业农民培养成建设现代农业的主导力量。</w:t>
      </w:r>
    </w:p>
    <w:p>
      <w:pPr>
        <w:pStyle w:val="43"/>
        <w:ind w:firstLine="560"/>
        <w:rPr>
          <w:lang w:bidi="en-US"/>
        </w:rPr>
      </w:pPr>
      <w:r>
        <w:rPr>
          <w:rFonts w:hint="eastAsia"/>
          <w:lang w:bidi="en-US"/>
        </w:rPr>
        <w:t>坚持以政府为主导、市场需求为引领、产业发展为立足点，实施精准培训。采取有针对、分类别的培训方式，围绕产业发展、市场需求、转型需要，重点开展技能培训和其他培训，为移民村发展提供坚实的人力基础和保障。</w:t>
      </w:r>
    </w:p>
    <w:p>
      <w:pPr>
        <w:pStyle w:val="43"/>
        <w:ind w:firstLine="560"/>
        <w:rPr>
          <w:lang w:bidi="en-US"/>
        </w:rPr>
      </w:pPr>
      <w:r>
        <w:rPr>
          <w:rFonts w:hint="eastAsia"/>
          <w:lang w:bidi="en-US"/>
        </w:rPr>
        <w:t>技能培训：重点围绕产业发展要求、市场需求、转型需要，开展实用生产技术培训、就业技能培训，全面增强移民职业技能和转移就业能力，拓宽就业空间，提升就业质量。</w:t>
      </w:r>
    </w:p>
    <w:p>
      <w:pPr>
        <w:pStyle w:val="43"/>
        <w:ind w:firstLine="560"/>
        <w:rPr>
          <w:lang w:bidi="en-US"/>
        </w:rPr>
      </w:pPr>
      <w:r>
        <w:rPr>
          <w:rFonts w:hint="eastAsia"/>
          <w:lang w:bidi="en-US"/>
        </w:rPr>
        <w:t>其他培训：主要为移民行为习惯及适用技术培训等，加强移民对各行各业的了解及基础技术的提升、助推移民发展。</w:t>
      </w:r>
    </w:p>
    <w:p>
      <w:pPr>
        <w:pStyle w:val="43"/>
        <w:ind w:firstLine="560"/>
        <w:rPr>
          <w:lang w:bidi="en-US"/>
        </w:rPr>
      </w:pPr>
      <w:r>
        <w:rPr>
          <w:rFonts w:hint="eastAsia"/>
          <w:lang w:bidi="en-US"/>
        </w:rPr>
        <w:t>“十四五”规划培训的范围包括在法定年龄内、有劳动能力、有培训就业愿望的库区安置区移民。计划培训总人次8000人</w:t>
      </w:r>
      <w:r>
        <w:rPr>
          <w:lang w:bidi="en-US"/>
        </w:rPr>
        <w:t>，培训内容将征求移民意愿根据实际需要进行调整，初步计划培训内容如下</w:t>
      </w:r>
      <w:r>
        <w:rPr>
          <w:rFonts w:hint="eastAsia"/>
          <w:lang w:bidi="en-US"/>
        </w:rPr>
        <w:t>：</w:t>
      </w:r>
    </w:p>
    <w:p>
      <w:pPr>
        <w:pStyle w:val="54"/>
        <w:ind w:firstLine="560"/>
      </w:pPr>
      <w:r>
        <w:rPr>
          <w:rFonts w:hint="eastAsia"/>
        </w:rPr>
        <w:t>（</w:t>
      </w:r>
      <w:r>
        <w:t>1</w:t>
      </w:r>
      <w:r>
        <w:rPr>
          <w:rFonts w:hint="eastAsia"/>
        </w:rPr>
        <w:t>）技能培训</w:t>
      </w:r>
    </w:p>
    <w:p>
      <w:pPr>
        <w:pStyle w:val="43"/>
        <w:ind w:firstLine="560"/>
        <w:rPr>
          <w:highlight w:val="yellow"/>
          <w:lang w:bidi="en-US"/>
        </w:rPr>
      </w:pPr>
      <w:r>
        <w:rPr>
          <w:rFonts w:hint="eastAsia"/>
          <w:lang w:bidi="en-US"/>
        </w:rPr>
        <w:t>技能培训围绕元谋县产业发展规划，重点进行农业技能培训、乡村手工艺人培训、乡村经营管理人才培训等培训内容。</w:t>
      </w:r>
    </w:p>
    <w:p>
      <w:pPr>
        <w:pStyle w:val="43"/>
        <w:ind w:firstLine="560"/>
        <w:rPr>
          <w:lang w:bidi="en-US"/>
        </w:rPr>
      </w:pPr>
      <w:r>
        <w:rPr>
          <w:rFonts w:hint="eastAsia"/>
          <w:lang w:bidi="en-US"/>
        </w:rPr>
        <w:t>农业技能培训：与元谋县产业发展相结合，围绕绿色农业特色，定期邀请农业专家、专业技术人才，以请进来教和派出去学相结合，通过“集中授课、面对面讲”、“田间地头、现场讲解”、“种殖基地、手把手教”等方式，开展设施农业、特色种植、农产品加工等实用技术培训，帮助移民了解农业生产新品种，掌握农业新技术，提高种殖业和农产品加工等技能，实现增产增效增收。</w:t>
      </w:r>
    </w:p>
    <w:p>
      <w:pPr>
        <w:pStyle w:val="43"/>
        <w:ind w:firstLine="560"/>
        <w:rPr>
          <w:lang w:bidi="en-US"/>
        </w:rPr>
      </w:pPr>
      <w:r>
        <w:rPr>
          <w:rFonts w:hint="eastAsia"/>
          <w:lang w:bidi="en-US"/>
        </w:rPr>
        <w:t>乡村手工艺人培训及乡村经营管理人才培训：积极融入元谋全域旅游发展需求，对移民劳动力进行乡村手工艺人培训、乡村经营管理人才培训。立足元谋县实际，结合旅游发展走向及旅游发展需求，提升旅游服务质量和水平，引导服务行业从业者树立新的服务理念和服务意识，大力推进全域旅游。培训内容包括服务礼仪、食品加工、旅游商品创意市场开发、二三产业经营管理等。</w:t>
      </w:r>
    </w:p>
    <w:p>
      <w:pPr>
        <w:pStyle w:val="43"/>
        <w:ind w:firstLine="560"/>
        <w:rPr>
          <w:lang w:bidi="en-US"/>
        </w:rPr>
      </w:pPr>
      <w:r>
        <w:rPr>
          <w:rFonts w:hint="eastAsia"/>
          <w:lang w:bidi="en-US"/>
        </w:rPr>
        <w:t>技能培训对象为所有移民劳动力，针对不同移民就业方向，选择相应的培训类型，技能培训规划从</w:t>
      </w:r>
      <w:r>
        <w:rPr>
          <w:lang w:bidi="en-US"/>
        </w:rPr>
        <w:t>2022</w:t>
      </w:r>
      <w:r>
        <w:rPr>
          <w:rFonts w:hint="eastAsia"/>
          <w:lang w:bidi="en-US"/>
        </w:rPr>
        <w:t>年开始每年培训1000人，每人培训</w:t>
      </w:r>
      <w:r>
        <w:rPr>
          <w:lang w:bidi="en-US"/>
        </w:rPr>
        <w:t>1</w:t>
      </w:r>
      <w:r>
        <w:rPr>
          <w:rFonts w:hint="eastAsia"/>
          <w:lang w:bidi="en-US"/>
        </w:rPr>
        <w:t>次，规划期内共计培训4000人次。</w:t>
      </w:r>
    </w:p>
    <w:p>
      <w:pPr>
        <w:pStyle w:val="54"/>
        <w:ind w:firstLine="560"/>
      </w:pPr>
      <w:r>
        <w:rPr>
          <w:rFonts w:hint="eastAsia"/>
        </w:rPr>
        <w:t>（</w:t>
      </w:r>
      <w:r>
        <w:t>2</w:t>
      </w:r>
      <w:r>
        <w:rPr>
          <w:rFonts w:hint="eastAsia"/>
        </w:rPr>
        <w:t>）其他培训</w:t>
      </w:r>
    </w:p>
    <w:p>
      <w:pPr>
        <w:pStyle w:val="43"/>
        <w:ind w:firstLine="560"/>
        <w:rPr>
          <w:lang w:bidi="en-US"/>
        </w:rPr>
      </w:pPr>
      <w:r>
        <w:rPr>
          <w:rFonts w:hint="eastAsia"/>
          <w:lang w:bidi="en-US"/>
        </w:rPr>
        <w:t>通过对元谋县辖区内大中型水库移民行为习惯及适用技术进行培训，让培训后移民更加深入了解国家相关政策，更好服务移民；了解美丽乡村建设的规划及政策，了解乡村人居环境政治内容，普及行为规范，提升乡村治理水平等。</w:t>
      </w:r>
    </w:p>
    <w:p>
      <w:pPr>
        <w:pStyle w:val="43"/>
        <w:ind w:firstLine="560"/>
      </w:pPr>
      <w:r>
        <w:rPr>
          <w:rFonts w:hint="eastAsia"/>
          <w:lang w:bidi="en-US"/>
        </w:rPr>
        <w:t>规划从</w:t>
      </w:r>
      <w:r>
        <w:rPr>
          <w:lang w:bidi="en-US"/>
        </w:rPr>
        <w:t>2022</w:t>
      </w:r>
      <w:r>
        <w:rPr>
          <w:rFonts w:hint="eastAsia"/>
          <w:lang w:bidi="en-US"/>
        </w:rPr>
        <w:t>年开始每年培训750人，每人培训</w:t>
      </w:r>
      <w:r>
        <w:rPr>
          <w:lang w:bidi="en-US"/>
        </w:rPr>
        <w:t>1</w:t>
      </w:r>
      <w:r>
        <w:rPr>
          <w:rFonts w:hint="eastAsia"/>
          <w:lang w:bidi="en-US"/>
        </w:rPr>
        <w:t>次，规划期内共计培训3000人次。</w:t>
      </w:r>
    </w:p>
    <w:p>
      <w:pPr>
        <w:pStyle w:val="3"/>
        <w:rPr>
          <w:rFonts w:hAnsi="Times New Roman" w:cs="Times New Roman"/>
          <w:szCs w:val="36"/>
        </w:rPr>
      </w:pPr>
      <w:bookmarkStart w:id="72" w:name="_Toc86914847"/>
      <w:r>
        <w:rPr>
          <w:rFonts w:hAnsi="Times New Roman" w:cs="Times New Roman"/>
          <w:szCs w:val="36"/>
        </w:rPr>
        <w:t>7.4</w:t>
      </w:r>
      <w:r>
        <w:rPr>
          <w:rFonts w:hint="eastAsia" w:hAnsi="Times New Roman" w:cs="Times New Roman"/>
          <w:szCs w:val="36"/>
        </w:rPr>
        <w:t>　就业扶持</w:t>
      </w:r>
      <w:bookmarkEnd w:id="72"/>
    </w:p>
    <w:p>
      <w:pPr>
        <w:pStyle w:val="43"/>
        <w:ind w:firstLine="560"/>
        <w:rPr>
          <w:lang w:bidi="en-US"/>
        </w:rPr>
      </w:pPr>
      <w:r>
        <w:rPr>
          <w:rFonts w:hint="eastAsia"/>
          <w:lang w:bidi="en-US"/>
        </w:rPr>
        <w:t>就业扶持方面，主要通过开发就业岗位、组织劳务输出、扶持创业、加强权益保障等多种渠道，引导和促进移民稳定就业。</w:t>
      </w:r>
    </w:p>
    <w:p>
      <w:pPr>
        <w:pStyle w:val="43"/>
        <w:ind w:firstLine="560"/>
        <w:rPr>
          <w:lang w:bidi="en-US"/>
        </w:rPr>
      </w:pPr>
      <w:r>
        <w:rPr>
          <w:rFonts w:hint="eastAsia"/>
          <w:lang w:bidi="en-US"/>
        </w:rPr>
        <w:t>积极引导劳务输出，组织移民到当地花卉企业及其他劳动密集型企业务工；鼓励元谋县内由移民领办创办的企业和社会组织吸纳移民就业，对吸纳移民劳动力就业的企业和社会组织按照使用劳动力的年限进行分级奖补；在移民所在乡村开发公益性岗位，安置就业困难的移民劳动力；加强就业服务和创业支持，帮助移民家庭高校毕业生实现就业；加强移民劳动力就业服务，县、乡、村三级公共服务平台定时通过实体办事大厅、手机客户端、微信公众号等渠道发布招聘信息和就业政策，确保移民群众能够多渠道获得就业信息；加强移民劳动力权益保障，将安置移民劳动力的企业纳入劳动保障监察范围，切实保障移民劳动力的劳动保障权益。元谋县“十四五”期间就业扶持1</w:t>
      </w:r>
      <w:r>
        <w:rPr>
          <w:lang w:bidi="en-US"/>
        </w:rPr>
        <w:t>000</w:t>
      </w:r>
      <w:r>
        <w:rPr>
          <w:rFonts w:hint="eastAsia"/>
          <w:lang w:bidi="en-US"/>
        </w:rPr>
        <w:t>人次。</w:t>
      </w:r>
    </w:p>
    <w:p>
      <w:pPr>
        <w:pStyle w:val="3"/>
        <w:rPr>
          <w:rFonts w:hAnsi="Times New Roman" w:cs="Times New Roman"/>
          <w:szCs w:val="36"/>
        </w:rPr>
      </w:pPr>
      <w:bookmarkStart w:id="73" w:name="_Toc86914848"/>
      <w:r>
        <w:rPr>
          <w:rFonts w:hAnsi="Times New Roman" w:cs="Times New Roman"/>
          <w:szCs w:val="36"/>
        </w:rPr>
        <w:t>7.5</w:t>
      </w:r>
      <w:r>
        <w:rPr>
          <w:rFonts w:hint="eastAsia" w:hAnsi="Times New Roman" w:cs="Times New Roman"/>
          <w:szCs w:val="36"/>
        </w:rPr>
        <w:t>　后期扶持资金安排</w:t>
      </w:r>
      <w:bookmarkEnd w:id="73"/>
    </w:p>
    <w:p>
      <w:pPr>
        <w:pStyle w:val="43"/>
        <w:ind w:firstLine="560"/>
        <w:rPr>
          <w:lang w:bidi="en-US"/>
        </w:rPr>
      </w:pPr>
      <w:r>
        <w:rPr>
          <w:rFonts w:hint="eastAsia"/>
          <w:lang w:bidi="en-US"/>
        </w:rPr>
        <w:t>经汇总，移民劳动力就业创业能力建设和就业扶持对象共计8000人次，重点开展技能培训、其他培训及就业扶持等，共需资金1800.0万元，其中使用后期扶持资金估算1000.0</w:t>
      </w:r>
      <w:r>
        <w:rPr>
          <w:lang w:bidi="en-US"/>
        </w:rPr>
        <w:t>0</w:t>
      </w:r>
      <w:r>
        <w:rPr>
          <w:rFonts w:hint="eastAsia"/>
          <w:lang w:bidi="en-US"/>
        </w:rPr>
        <w:t>万元，占“十四五”期间后期扶持资金总额比例的5.78%，详见表</w:t>
      </w:r>
      <w:r>
        <w:rPr>
          <w:lang w:bidi="en-US"/>
        </w:rPr>
        <w:t>7.</w:t>
      </w:r>
      <w:r>
        <w:rPr>
          <w:rFonts w:hint="eastAsia"/>
          <w:lang w:bidi="en-US"/>
        </w:rPr>
        <w:t>5</w:t>
      </w:r>
      <w:r>
        <w:rPr>
          <w:lang w:bidi="en-US"/>
        </w:rPr>
        <w:t>-1</w:t>
      </w:r>
      <w:r>
        <w:rPr>
          <w:rFonts w:hint="eastAsia"/>
          <w:lang w:bidi="en-US"/>
        </w:rPr>
        <w:t>。</w:t>
      </w:r>
    </w:p>
    <w:p>
      <w:pPr>
        <w:widowControl/>
        <w:jc w:val="left"/>
        <w:rPr>
          <w:rFonts w:ascii="Times New Roman" w:hAnsi="Times New Roman" w:eastAsia="黑体" w:cs="Times New Roman"/>
          <w:kern w:val="0"/>
          <w:sz w:val="24"/>
          <w:szCs w:val="24"/>
        </w:rPr>
      </w:pPr>
      <w:r>
        <w:rPr>
          <w:rFonts w:ascii="Times New Roman" w:hAnsi="Times New Roman" w:eastAsia="黑体" w:cs="Times New Roman"/>
          <w:kern w:val="0"/>
          <w:sz w:val="24"/>
          <w:szCs w:val="24"/>
        </w:rPr>
        <w:br w:type="page"/>
      </w:r>
    </w:p>
    <w:p>
      <w:pPr>
        <w:pStyle w:val="53"/>
        <w:ind w:firstLine="240"/>
      </w:pPr>
      <w:r>
        <w:rPr>
          <w:rFonts w:hint="eastAsia"/>
        </w:rPr>
        <w:t>表</w:t>
      </w:r>
      <w:r>
        <w:t>7.</w:t>
      </w:r>
      <w:r>
        <w:rPr>
          <w:rFonts w:hint="eastAsia"/>
        </w:rPr>
        <w:t>5</w:t>
      </w:r>
      <w:r>
        <w:t>-1　　</w:t>
      </w:r>
      <w:r>
        <w:rPr>
          <w:rFonts w:hint="eastAsia"/>
        </w:rPr>
        <w:t>　　　　</w:t>
      </w:r>
      <w:r>
        <w:t>　　</w:t>
      </w:r>
      <w:r>
        <w:rPr>
          <w:rFonts w:hint="eastAsia"/>
        </w:rPr>
        <w:t>元谋移民劳动力培训项目及扶持资金表</w:t>
      </w:r>
    </w:p>
    <w:tbl>
      <w:tblPr>
        <w:tblStyle w:val="23"/>
        <w:tblW w:w="9072" w:type="dxa"/>
        <w:jc w:val="center"/>
        <w:tblInd w:w="0" w:type="dxa"/>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426"/>
        <w:gridCol w:w="1941"/>
        <w:gridCol w:w="2312"/>
        <w:gridCol w:w="1680"/>
        <w:gridCol w:w="1201"/>
        <w:gridCol w:w="757"/>
        <w:gridCol w:w="755"/>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929" w:hRule="atLeast"/>
          <w:jc w:val="center"/>
        </w:trPr>
        <w:tc>
          <w:tcPr>
            <w:tcW w:w="426" w:type="dxa"/>
            <w:shd w:val="clear" w:color="auto" w:fill="auto"/>
            <w:vAlign w:val="center"/>
          </w:tcPr>
          <w:p>
            <w:pPr>
              <w:pStyle w:val="52"/>
            </w:pPr>
            <w:r>
              <w:rPr>
                <w:rFonts w:hint="eastAsia"/>
              </w:rPr>
              <w:t>序号</w:t>
            </w:r>
          </w:p>
        </w:tc>
        <w:tc>
          <w:tcPr>
            <w:tcW w:w="1941" w:type="dxa"/>
            <w:shd w:val="clear" w:color="auto" w:fill="auto"/>
            <w:vAlign w:val="center"/>
          </w:tcPr>
          <w:p>
            <w:pPr>
              <w:pStyle w:val="52"/>
            </w:pPr>
            <w:r>
              <w:rPr>
                <w:rFonts w:hint="eastAsia"/>
              </w:rPr>
              <w:t>项目名称</w:t>
            </w:r>
          </w:p>
        </w:tc>
        <w:tc>
          <w:tcPr>
            <w:tcW w:w="2312" w:type="dxa"/>
            <w:shd w:val="clear" w:color="000000" w:fill="FFFFFF"/>
            <w:vAlign w:val="center"/>
          </w:tcPr>
          <w:p>
            <w:pPr>
              <w:pStyle w:val="52"/>
            </w:pPr>
            <w:r>
              <w:rPr>
                <w:rFonts w:hint="eastAsia"/>
              </w:rPr>
              <w:t>建设内容及规模</w:t>
            </w:r>
          </w:p>
        </w:tc>
        <w:tc>
          <w:tcPr>
            <w:tcW w:w="1680" w:type="dxa"/>
            <w:shd w:val="clear" w:color="000000" w:fill="FFFFFF"/>
            <w:vAlign w:val="center"/>
          </w:tcPr>
          <w:p>
            <w:pPr>
              <w:pStyle w:val="52"/>
            </w:pPr>
            <w:r>
              <w:rPr>
                <w:rFonts w:hint="eastAsia"/>
              </w:rPr>
              <w:t>起止年限</w:t>
            </w:r>
          </w:p>
        </w:tc>
        <w:tc>
          <w:tcPr>
            <w:tcW w:w="1201" w:type="dxa"/>
            <w:shd w:val="clear" w:color="000000" w:fill="FFFFFF"/>
            <w:vAlign w:val="center"/>
          </w:tcPr>
          <w:p>
            <w:pPr>
              <w:pStyle w:val="52"/>
            </w:pPr>
            <w:r>
              <w:t>后扶资金</w:t>
            </w:r>
            <w:r>
              <w:rPr>
                <w:rFonts w:hint="eastAsia"/>
              </w:rPr>
              <w:t>（万元）</w:t>
            </w:r>
          </w:p>
        </w:tc>
        <w:tc>
          <w:tcPr>
            <w:tcW w:w="757" w:type="dxa"/>
            <w:shd w:val="clear" w:color="auto" w:fill="auto"/>
            <w:vAlign w:val="center"/>
          </w:tcPr>
          <w:p>
            <w:pPr>
              <w:pStyle w:val="52"/>
            </w:pPr>
            <w:r>
              <w:rPr>
                <w:rFonts w:hint="eastAsia"/>
              </w:rPr>
              <w:t>受益人数</w:t>
            </w:r>
          </w:p>
        </w:tc>
        <w:tc>
          <w:tcPr>
            <w:tcW w:w="755" w:type="dxa"/>
            <w:shd w:val="clear" w:color="auto" w:fill="auto"/>
            <w:vAlign w:val="center"/>
          </w:tcPr>
          <w:p>
            <w:pPr>
              <w:pStyle w:val="52"/>
            </w:pPr>
            <w:r>
              <w:rPr>
                <w:rFonts w:hint="eastAsia"/>
              </w:rPr>
              <w:t>受益移民人数</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1646" w:hRule="atLeast"/>
          <w:jc w:val="center"/>
        </w:trPr>
        <w:tc>
          <w:tcPr>
            <w:tcW w:w="426" w:type="dxa"/>
            <w:shd w:val="clear" w:color="auto" w:fill="auto"/>
            <w:noWrap/>
            <w:vAlign w:val="center"/>
          </w:tcPr>
          <w:p>
            <w:pPr>
              <w:pStyle w:val="52"/>
            </w:pPr>
            <w:r>
              <w:rPr>
                <w:rFonts w:hint="eastAsia"/>
              </w:rPr>
              <w:t>1</w:t>
            </w:r>
          </w:p>
        </w:tc>
        <w:tc>
          <w:tcPr>
            <w:tcW w:w="1941" w:type="dxa"/>
            <w:shd w:val="clear" w:color="auto" w:fill="auto"/>
            <w:vAlign w:val="center"/>
          </w:tcPr>
          <w:p>
            <w:pPr>
              <w:pStyle w:val="52"/>
              <w:jc w:val="both"/>
            </w:pPr>
            <w:r>
              <w:rPr>
                <w:rFonts w:hint="eastAsia"/>
              </w:rPr>
              <w:t>元谋县乌东德水电站移民技能培训项目</w:t>
            </w:r>
          </w:p>
        </w:tc>
        <w:tc>
          <w:tcPr>
            <w:tcW w:w="2312" w:type="dxa"/>
            <w:shd w:val="clear" w:color="auto" w:fill="auto"/>
            <w:vAlign w:val="center"/>
          </w:tcPr>
          <w:p>
            <w:pPr>
              <w:pStyle w:val="52"/>
              <w:jc w:val="both"/>
            </w:pPr>
            <w:r>
              <w:rPr>
                <w:rFonts w:hint="eastAsia"/>
              </w:rPr>
              <w:t>移民农业技能培训、乡村手工艺人培训、乡村经营管理人才培训等4000人次，1400元/人次。</w:t>
            </w:r>
          </w:p>
        </w:tc>
        <w:tc>
          <w:tcPr>
            <w:tcW w:w="1680" w:type="dxa"/>
            <w:shd w:val="clear" w:color="auto" w:fill="auto"/>
            <w:vAlign w:val="center"/>
          </w:tcPr>
          <w:p>
            <w:pPr>
              <w:pStyle w:val="52"/>
            </w:pPr>
            <w:r>
              <w:rPr>
                <w:rFonts w:hint="eastAsia"/>
              </w:rPr>
              <w:t>2022-2025年</w:t>
            </w:r>
          </w:p>
        </w:tc>
        <w:tc>
          <w:tcPr>
            <w:tcW w:w="1201" w:type="dxa"/>
            <w:shd w:val="clear" w:color="auto" w:fill="auto"/>
            <w:noWrap/>
            <w:vAlign w:val="center"/>
          </w:tcPr>
          <w:p>
            <w:pPr>
              <w:pStyle w:val="52"/>
            </w:pPr>
            <w:r>
              <w:rPr>
                <w:rFonts w:hint="eastAsia"/>
              </w:rPr>
              <w:t>560</w:t>
            </w:r>
          </w:p>
        </w:tc>
        <w:tc>
          <w:tcPr>
            <w:tcW w:w="757" w:type="dxa"/>
            <w:shd w:val="clear" w:color="auto" w:fill="auto"/>
            <w:noWrap/>
            <w:vAlign w:val="center"/>
          </w:tcPr>
          <w:p>
            <w:pPr>
              <w:pStyle w:val="52"/>
            </w:pPr>
            <w:r>
              <w:rPr>
                <w:rFonts w:hint="eastAsia"/>
              </w:rPr>
              <w:t>6000</w:t>
            </w:r>
          </w:p>
        </w:tc>
        <w:tc>
          <w:tcPr>
            <w:tcW w:w="755" w:type="dxa"/>
            <w:shd w:val="clear" w:color="auto" w:fill="auto"/>
            <w:noWrap/>
            <w:vAlign w:val="center"/>
          </w:tcPr>
          <w:p>
            <w:pPr>
              <w:pStyle w:val="52"/>
            </w:pPr>
            <w:r>
              <w:rPr>
                <w:rFonts w:hint="eastAsia"/>
              </w:rPr>
              <w:t>6000</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1698" w:hRule="atLeast"/>
          <w:jc w:val="center"/>
        </w:trPr>
        <w:tc>
          <w:tcPr>
            <w:tcW w:w="426" w:type="dxa"/>
            <w:shd w:val="clear" w:color="auto" w:fill="auto"/>
            <w:noWrap/>
            <w:vAlign w:val="center"/>
          </w:tcPr>
          <w:p>
            <w:pPr>
              <w:pStyle w:val="52"/>
            </w:pPr>
            <w:r>
              <w:rPr>
                <w:rFonts w:hint="eastAsia"/>
              </w:rPr>
              <w:t>2</w:t>
            </w:r>
          </w:p>
        </w:tc>
        <w:tc>
          <w:tcPr>
            <w:tcW w:w="1941" w:type="dxa"/>
            <w:shd w:val="clear" w:color="auto" w:fill="auto"/>
            <w:vAlign w:val="center"/>
          </w:tcPr>
          <w:p>
            <w:pPr>
              <w:pStyle w:val="52"/>
              <w:jc w:val="both"/>
            </w:pPr>
            <w:r>
              <w:rPr>
                <w:rFonts w:hint="eastAsia"/>
              </w:rPr>
              <w:t>元谋县大中型水库移民行为习惯及适用技术培训</w:t>
            </w:r>
          </w:p>
        </w:tc>
        <w:tc>
          <w:tcPr>
            <w:tcW w:w="2312" w:type="dxa"/>
            <w:shd w:val="clear" w:color="auto" w:fill="auto"/>
            <w:vAlign w:val="center"/>
          </w:tcPr>
          <w:p>
            <w:pPr>
              <w:pStyle w:val="52"/>
              <w:jc w:val="both"/>
            </w:pPr>
            <w:r>
              <w:rPr>
                <w:rFonts w:hint="eastAsia"/>
              </w:rPr>
              <w:t>计划对辖区内大中型水库移民行为习惯及适用技术培训3000人次，800元/人次。</w:t>
            </w:r>
          </w:p>
        </w:tc>
        <w:tc>
          <w:tcPr>
            <w:tcW w:w="1680" w:type="dxa"/>
            <w:shd w:val="clear" w:color="auto" w:fill="auto"/>
            <w:vAlign w:val="center"/>
          </w:tcPr>
          <w:p>
            <w:pPr>
              <w:pStyle w:val="52"/>
            </w:pPr>
            <w:r>
              <w:rPr>
                <w:rFonts w:hint="eastAsia"/>
              </w:rPr>
              <w:t>2022-2025年</w:t>
            </w:r>
          </w:p>
        </w:tc>
        <w:tc>
          <w:tcPr>
            <w:tcW w:w="1201" w:type="dxa"/>
            <w:shd w:val="clear" w:color="auto" w:fill="auto"/>
            <w:noWrap/>
            <w:vAlign w:val="center"/>
          </w:tcPr>
          <w:p>
            <w:pPr>
              <w:pStyle w:val="52"/>
            </w:pPr>
            <w:r>
              <w:rPr>
                <w:rFonts w:hint="eastAsia"/>
              </w:rPr>
              <w:t>240</w:t>
            </w:r>
          </w:p>
        </w:tc>
        <w:tc>
          <w:tcPr>
            <w:tcW w:w="757" w:type="dxa"/>
            <w:shd w:val="clear" w:color="auto" w:fill="auto"/>
            <w:noWrap/>
            <w:vAlign w:val="center"/>
          </w:tcPr>
          <w:p>
            <w:pPr>
              <w:pStyle w:val="52"/>
            </w:pPr>
            <w:r>
              <w:rPr>
                <w:rFonts w:hint="eastAsia"/>
              </w:rPr>
              <w:t>6000</w:t>
            </w:r>
          </w:p>
        </w:tc>
        <w:tc>
          <w:tcPr>
            <w:tcW w:w="755" w:type="dxa"/>
            <w:shd w:val="clear" w:color="auto" w:fill="auto"/>
            <w:noWrap/>
            <w:vAlign w:val="center"/>
          </w:tcPr>
          <w:p>
            <w:pPr>
              <w:pStyle w:val="52"/>
            </w:pPr>
            <w:r>
              <w:rPr>
                <w:rFonts w:hint="eastAsia"/>
              </w:rPr>
              <w:t>6000</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2814" w:hRule="atLeast"/>
          <w:jc w:val="center"/>
        </w:trPr>
        <w:tc>
          <w:tcPr>
            <w:tcW w:w="426" w:type="dxa"/>
            <w:shd w:val="clear" w:color="auto" w:fill="auto"/>
            <w:noWrap/>
            <w:vAlign w:val="center"/>
          </w:tcPr>
          <w:p>
            <w:pPr>
              <w:pStyle w:val="52"/>
            </w:pPr>
            <w:r>
              <w:rPr>
                <w:rFonts w:hint="eastAsia"/>
              </w:rPr>
              <w:t>3</w:t>
            </w:r>
          </w:p>
        </w:tc>
        <w:tc>
          <w:tcPr>
            <w:tcW w:w="1941" w:type="dxa"/>
            <w:shd w:val="clear" w:color="auto" w:fill="auto"/>
            <w:vAlign w:val="center"/>
          </w:tcPr>
          <w:p>
            <w:pPr>
              <w:pStyle w:val="52"/>
              <w:jc w:val="both"/>
            </w:pPr>
            <w:r>
              <w:rPr>
                <w:rFonts w:hint="eastAsia"/>
              </w:rPr>
              <w:t>元谋县移民用工企业扶持项目</w:t>
            </w:r>
          </w:p>
        </w:tc>
        <w:tc>
          <w:tcPr>
            <w:tcW w:w="2312" w:type="dxa"/>
            <w:shd w:val="clear" w:color="auto" w:fill="auto"/>
            <w:vAlign w:val="center"/>
          </w:tcPr>
          <w:p>
            <w:pPr>
              <w:pStyle w:val="52"/>
              <w:jc w:val="both"/>
            </w:pPr>
            <w:r>
              <w:rPr>
                <w:rFonts w:hint="eastAsia"/>
              </w:rPr>
              <w:t>拟计划对县内由移民领办创办、使用移民劳动力的企业进行扶持，使用移民劳动力超半年以上一年以内，按每个劳动力半年工资总额的1%进行扶持，使用移民劳动力超过一年及以上，按每个劳动力年工资总额2%进行扶持。预计扶持移民劳动力1000人。</w:t>
            </w:r>
          </w:p>
        </w:tc>
        <w:tc>
          <w:tcPr>
            <w:tcW w:w="1680" w:type="dxa"/>
            <w:shd w:val="clear" w:color="auto" w:fill="auto"/>
            <w:vAlign w:val="center"/>
          </w:tcPr>
          <w:p>
            <w:pPr>
              <w:pStyle w:val="52"/>
            </w:pPr>
            <w:r>
              <w:rPr>
                <w:rFonts w:hint="eastAsia"/>
              </w:rPr>
              <w:t>2022年-2025年</w:t>
            </w:r>
          </w:p>
        </w:tc>
        <w:tc>
          <w:tcPr>
            <w:tcW w:w="1201" w:type="dxa"/>
            <w:shd w:val="clear" w:color="auto" w:fill="auto"/>
            <w:noWrap/>
            <w:vAlign w:val="center"/>
          </w:tcPr>
          <w:p>
            <w:pPr>
              <w:pStyle w:val="52"/>
            </w:pPr>
            <w:r>
              <w:rPr>
                <w:rFonts w:hint="eastAsia"/>
              </w:rPr>
              <w:t>200</w:t>
            </w:r>
          </w:p>
        </w:tc>
        <w:tc>
          <w:tcPr>
            <w:tcW w:w="757" w:type="dxa"/>
            <w:shd w:val="clear" w:color="auto" w:fill="auto"/>
            <w:noWrap/>
            <w:vAlign w:val="center"/>
          </w:tcPr>
          <w:p>
            <w:pPr>
              <w:pStyle w:val="52"/>
            </w:pPr>
            <w:r>
              <w:rPr>
                <w:rFonts w:hint="eastAsia"/>
              </w:rPr>
              <w:t>1000</w:t>
            </w:r>
          </w:p>
        </w:tc>
        <w:tc>
          <w:tcPr>
            <w:tcW w:w="755" w:type="dxa"/>
            <w:shd w:val="clear" w:color="auto" w:fill="auto"/>
            <w:noWrap/>
            <w:vAlign w:val="center"/>
          </w:tcPr>
          <w:p>
            <w:pPr>
              <w:pStyle w:val="52"/>
            </w:pPr>
            <w:r>
              <w:rPr>
                <w:rFonts w:hint="eastAsia"/>
              </w:rPr>
              <w:t>1000</w:t>
            </w:r>
          </w:p>
        </w:tc>
      </w:tr>
    </w:tbl>
    <w:p>
      <w:pPr>
        <w:ind w:firstLine="560" w:firstLineChars="200"/>
        <w:contextualSpacing/>
        <w:rPr>
          <w:rFonts w:ascii="Times New Roman" w:hAnsi="Times New Roman" w:cs="Times New Roman"/>
        </w:rPr>
        <w:sectPr>
          <w:pgSz w:w="11906" w:h="16838"/>
          <w:pgMar w:top="1616" w:right="1418" w:bottom="1616" w:left="1418" w:header="907" w:footer="1304" w:gutter="0"/>
          <w:cols w:space="425" w:num="1"/>
          <w:docGrid w:type="lines" w:linePitch="312" w:charSpace="0"/>
        </w:sectPr>
      </w:pPr>
    </w:p>
    <w:p>
      <w:pPr>
        <w:pStyle w:val="2"/>
        <w:rPr>
          <w:rFonts w:hAnsi="Times New Roman" w:cs="Times New Roman"/>
        </w:rPr>
      </w:pPr>
      <w:bookmarkStart w:id="74" w:name="_Toc86914849"/>
      <w:r>
        <w:rPr>
          <w:rFonts w:hint="eastAsia" w:hAnsi="Times New Roman" w:cs="Times New Roman"/>
        </w:rPr>
        <w:t>8　后期扶持资金安排及年度计划</w:t>
      </w:r>
      <w:bookmarkEnd w:id="74"/>
    </w:p>
    <w:p>
      <w:pPr>
        <w:pStyle w:val="3"/>
        <w:rPr>
          <w:rFonts w:hAnsi="Times New Roman" w:cs="Times New Roman"/>
          <w:szCs w:val="36"/>
        </w:rPr>
      </w:pPr>
      <w:bookmarkStart w:id="75" w:name="_Toc14520"/>
      <w:bookmarkStart w:id="76" w:name="_Toc86914850"/>
      <w:bookmarkStart w:id="77" w:name="_Toc429717069"/>
      <w:bookmarkStart w:id="78" w:name="_Toc17940"/>
      <w:bookmarkStart w:id="79" w:name="_Toc444522538"/>
      <w:bookmarkStart w:id="80" w:name="_Toc22927"/>
      <w:r>
        <w:rPr>
          <w:rFonts w:hint="eastAsia" w:hAnsi="Times New Roman" w:cs="Times New Roman"/>
          <w:szCs w:val="36"/>
        </w:rPr>
        <w:t>8</w:t>
      </w:r>
      <w:r>
        <w:rPr>
          <w:rFonts w:hAnsi="Times New Roman" w:cs="Times New Roman"/>
          <w:szCs w:val="36"/>
        </w:rPr>
        <w:t>.1</w:t>
      </w:r>
      <w:r>
        <w:rPr>
          <w:rFonts w:hint="eastAsia" w:hAnsi="Times New Roman" w:cs="Times New Roman"/>
          <w:szCs w:val="36"/>
        </w:rPr>
        <w:t>　投资估算</w:t>
      </w:r>
      <w:bookmarkEnd w:id="75"/>
      <w:bookmarkEnd w:id="76"/>
      <w:bookmarkEnd w:id="77"/>
      <w:bookmarkEnd w:id="78"/>
      <w:bookmarkEnd w:id="79"/>
      <w:bookmarkEnd w:id="80"/>
    </w:p>
    <w:p>
      <w:pPr>
        <w:pStyle w:val="43"/>
        <w:ind w:firstLine="560"/>
        <w:rPr>
          <w:lang w:bidi="en-US"/>
        </w:rPr>
      </w:pPr>
      <w:r>
        <w:rPr>
          <w:rFonts w:hint="eastAsia"/>
          <w:lang w:bidi="en-US"/>
        </w:rPr>
        <w:t>元谋县大中型水库移民后期扶持</w:t>
      </w:r>
      <w:r>
        <w:rPr>
          <w:lang w:bidi="en-US"/>
        </w:rPr>
        <w:t>“</w:t>
      </w:r>
      <w:r>
        <w:rPr>
          <w:rFonts w:hint="eastAsia"/>
          <w:lang w:bidi="en-US"/>
        </w:rPr>
        <w:t>十四五</w:t>
      </w:r>
      <w:r>
        <w:rPr>
          <w:lang w:bidi="en-US"/>
        </w:rPr>
        <w:t>”</w:t>
      </w:r>
      <w:r>
        <w:rPr>
          <w:rFonts w:hint="eastAsia"/>
          <w:lang w:bidi="en-US"/>
        </w:rPr>
        <w:t>规划总投资50431.84万元。其中基金直接发放总投资4204.2万元，规划扶持项目25个、投资46227.64万元。</w:t>
      </w:r>
    </w:p>
    <w:p>
      <w:pPr>
        <w:pStyle w:val="43"/>
        <w:ind w:firstLine="560"/>
        <w:rPr>
          <w:lang w:bidi="en-US"/>
        </w:rPr>
      </w:pPr>
      <w:r>
        <w:rPr>
          <w:rFonts w:hint="eastAsia"/>
          <w:lang w:bidi="en-US"/>
        </w:rPr>
        <w:t>扶持项目中，美丽家园</w:t>
      </w:r>
      <w:r>
        <w:rPr>
          <w:rFonts w:hint="eastAsia" w:eastAsia="宋体"/>
          <w:lang w:bidi="en-US"/>
        </w:rPr>
        <w:t>•</w:t>
      </w:r>
      <w:r>
        <w:rPr>
          <w:rFonts w:hint="eastAsia"/>
          <w:lang w:bidi="en-US"/>
        </w:rPr>
        <w:t>移民新村建设规划14个项目、投资11440.50万元；产业升级发展规划8个项目、投资32987.14万元；就业创业培训规划3个项目、投资1800.00万元。</w:t>
      </w:r>
    </w:p>
    <w:p>
      <w:pPr>
        <w:pStyle w:val="3"/>
        <w:rPr>
          <w:rFonts w:hAnsi="Times New Roman" w:cs="Times New Roman"/>
          <w:szCs w:val="36"/>
        </w:rPr>
      </w:pPr>
      <w:bookmarkStart w:id="81" w:name="_Toc444522539"/>
      <w:bookmarkStart w:id="82" w:name="_Toc28046"/>
      <w:bookmarkStart w:id="83" w:name="_Toc16572"/>
      <w:bookmarkStart w:id="84" w:name="_Toc429717070"/>
      <w:bookmarkStart w:id="85" w:name="_Toc86914851"/>
      <w:bookmarkStart w:id="86" w:name="_Toc3018"/>
      <w:r>
        <w:rPr>
          <w:rFonts w:hint="eastAsia" w:hAnsi="Times New Roman" w:cs="Times New Roman"/>
          <w:szCs w:val="36"/>
        </w:rPr>
        <w:t>8</w:t>
      </w:r>
      <w:r>
        <w:rPr>
          <w:rFonts w:hAnsi="Times New Roman" w:cs="Times New Roman"/>
          <w:szCs w:val="36"/>
        </w:rPr>
        <w:t>.2</w:t>
      </w:r>
      <w:r>
        <w:rPr>
          <w:rFonts w:hint="eastAsia" w:hAnsi="Times New Roman" w:cs="Times New Roman"/>
          <w:szCs w:val="36"/>
        </w:rPr>
        <w:t>　资金筹措</w:t>
      </w:r>
      <w:bookmarkEnd w:id="81"/>
      <w:bookmarkEnd w:id="82"/>
      <w:bookmarkEnd w:id="83"/>
      <w:bookmarkEnd w:id="84"/>
      <w:bookmarkEnd w:id="85"/>
      <w:bookmarkEnd w:id="86"/>
    </w:p>
    <w:p>
      <w:pPr>
        <w:pStyle w:val="43"/>
        <w:ind w:firstLine="560"/>
        <w:rPr>
          <w:highlight w:val="yellow"/>
          <w:lang w:bidi="en-US"/>
        </w:rPr>
      </w:pPr>
      <w:r>
        <w:rPr>
          <w:rFonts w:hint="eastAsia"/>
          <w:lang w:bidi="en-US"/>
        </w:rPr>
        <w:t>元谋县大中型水库移民后期扶持</w:t>
      </w:r>
      <w:r>
        <w:rPr>
          <w:lang w:bidi="en-US"/>
        </w:rPr>
        <w:t>“</w:t>
      </w:r>
      <w:r>
        <w:rPr>
          <w:rFonts w:hint="eastAsia"/>
          <w:lang w:bidi="en-US"/>
        </w:rPr>
        <w:t>十四五</w:t>
      </w:r>
      <w:r>
        <w:rPr>
          <w:lang w:bidi="en-US"/>
        </w:rPr>
        <w:t>”</w:t>
      </w:r>
      <w:r>
        <w:rPr>
          <w:rFonts w:hint="eastAsia"/>
          <w:lang w:bidi="en-US"/>
        </w:rPr>
        <w:t>规划总投资50431.84万元，其中17293.2万元申请国家后期扶持基金，33138.64万元为其他来源。</w:t>
      </w:r>
    </w:p>
    <w:p>
      <w:pPr>
        <w:pStyle w:val="43"/>
        <w:ind w:firstLine="560"/>
        <w:rPr>
          <w:lang w:bidi="en-US"/>
        </w:rPr>
      </w:pPr>
      <w:r>
        <w:rPr>
          <w:rFonts w:hint="eastAsia"/>
          <w:lang w:bidi="en-US"/>
        </w:rPr>
        <w:t>基金直接发放投资4204.2万元，全部申请后扶资金；</w:t>
      </w:r>
    </w:p>
    <w:p>
      <w:pPr>
        <w:pStyle w:val="43"/>
        <w:ind w:firstLine="560"/>
        <w:rPr>
          <w:lang w:bidi="en-US"/>
        </w:rPr>
      </w:pPr>
      <w:r>
        <w:rPr>
          <w:rFonts w:hint="eastAsia"/>
          <w:lang w:bidi="en-US"/>
        </w:rPr>
        <w:t>美丽家园</w:t>
      </w:r>
      <w:r>
        <w:rPr>
          <w:rFonts w:hint="eastAsia" w:eastAsia="宋体"/>
          <w:lang w:bidi="en-US"/>
        </w:rPr>
        <w:t>•</w:t>
      </w:r>
      <w:r>
        <w:rPr>
          <w:rFonts w:hint="eastAsia"/>
          <w:lang w:bidi="en-US"/>
        </w:rPr>
        <w:t>移民新村建设规划1628.00万元申请后期扶持资金，9812.50万元地方其他来源；</w:t>
      </w:r>
    </w:p>
    <w:p>
      <w:pPr>
        <w:pStyle w:val="43"/>
        <w:ind w:firstLine="560"/>
        <w:rPr>
          <w:lang w:bidi="en-US"/>
        </w:rPr>
      </w:pPr>
      <w:r>
        <w:rPr>
          <w:rFonts w:hint="eastAsia"/>
          <w:lang w:bidi="en-US"/>
        </w:rPr>
        <w:t>产业升级发展规划10461.00万元申请后期扶持资金，22526.14万元地方其他来源；</w:t>
      </w:r>
    </w:p>
    <w:p>
      <w:pPr>
        <w:pStyle w:val="43"/>
        <w:ind w:firstLine="560"/>
        <w:rPr>
          <w:rFonts w:eastAsia="黑体"/>
          <w:sz w:val="24"/>
        </w:rPr>
      </w:pPr>
      <w:r>
        <w:rPr>
          <w:rFonts w:hint="eastAsia"/>
          <w:lang w:bidi="en-US"/>
        </w:rPr>
        <w:t>就业创业能力建设和就业扶持规划1000.00万元申请后期扶持资金， 800.00万元属地方其他来源。</w:t>
      </w:r>
    </w:p>
    <w:p>
      <w:pPr>
        <w:pStyle w:val="3"/>
        <w:rPr>
          <w:rFonts w:hAnsi="Times New Roman" w:cs="Times New Roman"/>
          <w:szCs w:val="36"/>
        </w:rPr>
      </w:pPr>
      <w:bookmarkStart w:id="87" w:name="_Toc86914852"/>
      <w:r>
        <w:rPr>
          <w:rFonts w:hint="eastAsia" w:hAnsi="Times New Roman" w:cs="Times New Roman"/>
          <w:szCs w:val="36"/>
        </w:rPr>
        <w:t>8</w:t>
      </w:r>
      <w:r>
        <w:rPr>
          <w:rFonts w:hAnsi="Times New Roman" w:cs="Times New Roman"/>
          <w:szCs w:val="36"/>
        </w:rPr>
        <w:t>.3</w:t>
      </w:r>
      <w:r>
        <w:rPr>
          <w:rFonts w:hint="eastAsia" w:hAnsi="Times New Roman" w:cs="Times New Roman"/>
          <w:szCs w:val="36"/>
        </w:rPr>
        <w:t>　年度计划</w:t>
      </w:r>
      <w:bookmarkEnd w:id="87"/>
    </w:p>
    <w:p>
      <w:pPr>
        <w:pStyle w:val="43"/>
        <w:ind w:firstLine="560"/>
        <w:rPr>
          <w:rFonts w:ascii="Arial" w:eastAsia="黑体"/>
          <w:bCs/>
          <w:kern w:val="44"/>
          <w:sz w:val="36"/>
          <w:szCs w:val="44"/>
        </w:rPr>
      </w:pPr>
      <w:r>
        <w:rPr>
          <w:rFonts w:hint="eastAsia"/>
          <w:lang w:bidi="en-US"/>
        </w:rPr>
        <w:t>按照规划项目的实施年度进行投资的分配，详见附表8-1和附表9</w:t>
      </w:r>
      <w:r>
        <w:rPr>
          <w:lang w:bidi="en-US"/>
        </w:rPr>
        <w:t>-1</w:t>
      </w:r>
      <w:r>
        <w:rPr>
          <w:rFonts w:hint="eastAsia"/>
          <w:lang w:bidi="en-US"/>
        </w:rPr>
        <w:t>。</w:t>
      </w:r>
      <w:r>
        <w:rPr>
          <w:rFonts w:ascii="Arial"/>
        </w:rPr>
        <w:br w:type="page"/>
      </w:r>
    </w:p>
    <w:p>
      <w:pPr>
        <w:pStyle w:val="2"/>
        <w:rPr>
          <w:rFonts w:hAnsi="Times New Roman" w:cs="Times New Roman"/>
        </w:rPr>
      </w:pPr>
      <w:bookmarkStart w:id="88" w:name="_Toc86914853"/>
      <w:r>
        <w:rPr>
          <w:rFonts w:hint="eastAsia" w:hAnsi="Times New Roman" w:cs="Times New Roman"/>
        </w:rPr>
        <w:t>9　规划实施效果预测分析</w:t>
      </w:r>
      <w:bookmarkEnd w:id="88"/>
    </w:p>
    <w:p>
      <w:pPr>
        <w:pStyle w:val="3"/>
        <w:rPr>
          <w:rFonts w:hAnsi="Times New Roman" w:cs="Times New Roman"/>
          <w:szCs w:val="36"/>
        </w:rPr>
      </w:pPr>
      <w:bookmarkStart w:id="89" w:name="_Toc86914854"/>
      <w:r>
        <w:rPr>
          <w:rFonts w:hint="eastAsia" w:hAnsi="Times New Roman" w:cs="Times New Roman"/>
          <w:szCs w:val="36"/>
        </w:rPr>
        <w:t>9</w:t>
      </w:r>
      <w:r>
        <w:rPr>
          <w:rFonts w:hAnsi="Times New Roman" w:cs="Times New Roman"/>
          <w:szCs w:val="36"/>
        </w:rPr>
        <w:t>.1</w:t>
      </w:r>
      <w:r>
        <w:rPr>
          <w:rFonts w:hint="eastAsia" w:hAnsi="Times New Roman" w:cs="Times New Roman"/>
          <w:szCs w:val="36"/>
        </w:rPr>
        <w:t>　经济效益</w:t>
      </w:r>
      <w:bookmarkEnd w:id="89"/>
    </w:p>
    <w:p>
      <w:pPr>
        <w:pStyle w:val="43"/>
        <w:ind w:firstLine="560"/>
        <w:rPr>
          <w:lang w:bidi="en-US"/>
        </w:rPr>
      </w:pPr>
      <w:r>
        <w:rPr>
          <w:rFonts w:hint="eastAsia"/>
          <w:lang w:bidi="en-US"/>
        </w:rPr>
        <w:t>大中型水库后期扶持规划项目的实施，可使广大移民群众直接受益，尤其是促进该移民村经济持续快速增长、社会发展进步以及带动移民群众增收致富。</w:t>
      </w:r>
    </w:p>
    <w:p>
      <w:pPr>
        <w:pStyle w:val="43"/>
        <w:ind w:firstLine="560"/>
        <w:rPr>
          <w:lang w:bidi="en-US"/>
        </w:rPr>
      </w:pPr>
      <w:r>
        <w:rPr>
          <w:rFonts w:hint="eastAsia"/>
          <w:lang w:bidi="en-US"/>
        </w:rPr>
        <w:t>农田水利设施项目建成后，能够极大地提高生产效率，节约生产投入，有效地节约生产成本。项目设施后，移民村的水利基础设施得到良好改善，移民群众可以更好地调整产业结构，发展现代农业产业化生产经营，创造更高的经济效益。农业生产成本得到有效的节约。道路项目实施后，可以较大限度地改善移民村组的交通困难问题，提高劳动效率，减少劳动力的投入。</w:t>
      </w:r>
    </w:p>
    <w:p>
      <w:pPr>
        <w:pStyle w:val="43"/>
        <w:ind w:firstLine="560"/>
        <w:rPr>
          <w:lang w:bidi="en-US"/>
        </w:rPr>
      </w:pPr>
      <w:r>
        <w:rPr>
          <w:rFonts w:hint="eastAsia"/>
          <w:lang w:bidi="en-US"/>
        </w:rPr>
        <w:t>后期扶持项目实施后，同时可以增强移民群众的科技创新意识，尽快帮助移民群众走发展致富之路。移民文化室、劳动力技能培训等项目的实施，能够迅速提高移民群众的技术意识，为走上发展致富之路打下坚实基础。依托元谋县丰富的休闲农业资源、民族文化资源，大力发展旅游业，必将有力地带动地方经济的发展，促进大量建设资金投入到当地交通、通讯、文教、卫生等基础设施，发展第三产业、振兴农村经济。</w:t>
      </w:r>
    </w:p>
    <w:p>
      <w:pPr>
        <w:pStyle w:val="3"/>
        <w:rPr>
          <w:rFonts w:hAnsi="Times New Roman" w:cs="Times New Roman"/>
          <w:szCs w:val="36"/>
        </w:rPr>
      </w:pPr>
      <w:bookmarkStart w:id="90" w:name="_Toc86914855"/>
      <w:r>
        <w:rPr>
          <w:rFonts w:hint="eastAsia" w:hAnsi="Times New Roman" w:cs="Times New Roman"/>
          <w:szCs w:val="36"/>
        </w:rPr>
        <w:t>9</w:t>
      </w:r>
      <w:r>
        <w:rPr>
          <w:rFonts w:hAnsi="Times New Roman" w:cs="Times New Roman"/>
          <w:szCs w:val="36"/>
        </w:rPr>
        <w:t>.2</w:t>
      </w:r>
      <w:r>
        <w:rPr>
          <w:rFonts w:hint="eastAsia" w:hAnsi="Times New Roman" w:cs="Times New Roman"/>
          <w:szCs w:val="36"/>
        </w:rPr>
        <w:t>　社会效益</w:t>
      </w:r>
      <w:bookmarkEnd w:id="90"/>
    </w:p>
    <w:p>
      <w:pPr>
        <w:pStyle w:val="43"/>
        <w:ind w:firstLine="560"/>
        <w:rPr>
          <w:lang w:bidi="en-US"/>
        </w:rPr>
      </w:pPr>
      <w:r>
        <w:rPr>
          <w:rFonts w:hint="eastAsia"/>
          <w:lang w:bidi="en-US"/>
        </w:rPr>
        <w:t>规划区移民村的水利、交通条件及生产生活条件得到改善，有效地利用项目区的水土资源，增加土地的复种指数，提高土地利用率，农业生产得到稳定发展，人民生活质量明显得到提高，对于建设绿色元谋，增加农民收入，改善群众生活，减少水事纠纷，增强民族团结，保持社会稳定都具有积极的促进作用。“十四五”移民后期扶持项目实施后，将充分调动移民的生产积极性，可以减轻元谋县移民村组解决贫困问题的压力，有效改善移民的生产生活条件，提高移民的基本素质，增强创新意识和自我发展能力，提高移民的经济、文化、生活水平，促进元谋县库区和移民安置区社会经济发展，对改善库区和移民安置区的社会稳定发挥了极大的作用。</w:t>
      </w:r>
    </w:p>
    <w:p>
      <w:pPr>
        <w:pStyle w:val="3"/>
        <w:rPr>
          <w:rFonts w:hAnsi="Times New Roman" w:cs="Times New Roman"/>
          <w:szCs w:val="36"/>
        </w:rPr>
      </w:pPr>
      <w:bookmarkStart w:id="91" w:name="_Toc86914856"/>
      <w:r>
        <w:rPr>
          <w:rFonts w:hint="eastAsia" w:hAnsi="Times New Roman" w:cs="Times New Roman"/>
          <w:szCs w:val="36"/>
        </w:rPr>
        <w:t>9</w:t>
      </w:r>
      <w:r>
        <w:rPr>
          <w:rFonts w:hAnsi="Times New Roman" w:cs="Times New Roman"/>
          <w:szCs w:val="36"/>
        </w:rPr>
        <w:t>.3</w:t>
      </w:r>
      <w:r>
        <w:rPr>
          <w:rFonts w:hint="eastAsia" w:hAnsi="Times New Roman" w:cs="Times New Roman"/>
          <w:szCs w:val="36"/>
        </w:rPr>
        <w:t>　生态效益</w:t>
      </w:r>
      <w:bookmarkEnd w:id="91"/>
    </w:p>
    <w:p>
      <w:pPr>
        <w:pStyle w:val="43"/>
        <w:ind w:firstLine="560"/>
        <w:rPr>
          <w:lang w:bidi="en-US"/>
        </w:rPr>
        <w:sectPr>
          <w:pgSz w:w="11906" w:h="16838"/>
          <w:pgMar w:top="1616" w:right="1418" w:bottom="1616" w:left="1418" w:header="907" w:footer="1304" w:gutter="0"/>
          <w:cols w:space="425" w:num="1"/>
          <w:docGrid w:type="lines" w:linePitch="312" w:charSpace="0"/>
        </w:sectPr>
      </w:pPr>
      <w:r>
        <w:rPr>
          <w:rFonts w:hint="eastAsia"/>
          <w:lang w:bidi="en-US"/>
        </w:rPr>
        <w:t>大中型水库库区和移民安置区后期扶持项目实施后，在发展的过程中，移民乃至各村民会逐步意识到生态环境保护和文化传承的重要意义，有利于增强当地村民保护环境和传统文化的自觉性和保护意识。同时，后期扶持项目的开发建设，将围绕生态性和自然性进行开发，使有数百年历史的古树、古村落、古庙宇等人文资源以及森林植被、草甸等自然资源得到有效保护和合理开发，规划项目中包括环境污染防治，污水收集与处理系统建设，环卫设施以及绿化等的实施，将改善移民村现有环境状况，促进新农村建设。同时通过产业结构的调整，将更多的人力、物力投入到第三产业中，为提高森林植被的面积，有助于退耕还林和防治水土流失具有重要意义。</w:t>
      </w:r>
    </w:p>
    <w:p>
      <w:pPr>
        <w:pStyle w:val="2"/>
        <w:jc w:val="center"/>
      </w:pPr>
      <w:bookmarkStart w:id="92" w:name="_Toc86914857"/>
      <w:r>
        <w:rPr>
          <w:rFonts w:hint="eastAsia"/>
        </w:rPr>
        <w:t>第三篇　保障措施</w:t>
      </w:r>
      <w:bookmarkEnd w:id="92"/>
    </w:p>
    <w:p>
      <w:pPr>
        <w:pStyle w:val="2"/>
        <w:rPr>
          <w:rFonts w:hAnsi="Times New Roman" w:cs="Times New Roman"/>
        </w:rPr>
      </w:pPr>
      <w:bookmarkStart w:id="93" w:name="_Toc86914858"/>
      <w:r>
        <w:rPr>
          <w:rFonts w:hAnsi="Times New Roman" w:cs="Times New Roman"/>
        </w:rPr>
        <w:t>1</w:t>
      </w:r>
      <w:r>
        <w:rPr>
          <w:rFonts w:hint="eastAsia" w:hAnsi="Times New Roman" w:cs="Times New Roman"/>
        </w:rPr>
        <w:t>　机构保障</w:t>
      </w:r>
      <w:bookmarkEnd w:id="93"/>
    </w:p>
    <w:p>
      <w:pPr>
        <w:pStyle w:val="3"/>
        <w:rPr>
          <w:rFonts w:hAnsi="Times New Roman" w:cs="Times New Roman"/>
          <w:szCs w:val="36"/>
        </w:rPr>
      </w:pPr>
      <w:bookmarkStart w:id="94" w:name="_Toc86914859"/>
      <w:r>
        <w:rPr>
          <w:rFonts w:hAnsi="Times New Roman" w:cs="Times New Roman"/>
          <w:szCs w:val="36"/>
        </w:rPr>
        <w:t>1.1</w:t>
      </w:r>
      <w:r>
        <w:rPr>
          <w:rFonts w:hint="eastAsia" w:hAnsi="Times New Roman" w:cs="Times New Roman"/>
          <w:szCs w:val="36"/>
        </w:rPr>
        <w:t>　工作组织机构</w:t>
      </w:r>
      <w:bookmarkEnd w:id="94"/>
    </w:p>
    <w:p>
      <w:pPr>
        <w:pStyle w:val="43"/>
        <w:ind w:firstLine="560"/>
        <w:rPr>
          <w:lang w:bidi="en-US"/>
        </w:rPr>
      </w:pPr>
      <w:r>
        <w:rPr>
          <w:rFonts w:hint="eastAsia"/>
          <w:lang w:bidi="en-US"/>
        </w:rPr>
        <w:t>为加强</w:t>
      </w:r>
      <w:r>
        <w:rPr>
          <w:lang w:bidi="en-US"/>
        </w:rPr>
        <w:t>“</w:t>
      </w:r>
      <w:r>
        <w:rPr>
          <w:rFonts w:hint="eastAsia"/>
          <w:lang w:bidi="en-US"/>
        </w:rPr>
        <w:t>十四五</w:t>
      </w:r>
      <w:r>
        <w:rPr>
          <w:lang w:bidi="en-US"/>
        </w:rPr>
        <w:t>”</w:t>
      </w:r>
      <w:r>
        <w:rPr>
          <w:rFonts w:hint="eastAsia"/>
          <w:lang w:bidi="en-US"/>
        </w:rPr>
        <w:t>规划实施工作的组织领导，根据工作需要，元谋县金沙江乌东德水电站建设征地移民安置工作总指挥部与县搬迁安置办公室合署办公，县搬迁安置办党委会议研究，对总指挥部、县搬迁安置办内设11</w:t>
      </w:r>
      <w:r>
        <w:rPr>
          <w:lang w:bidi="en-US"/>
        </w:rPr>
        <w:t>个</w:t>
      </w:r>
      <w:r>
        <w:rPr>
          <w:rFonts w:hint="eastAsia"/>
          <w:lang w:bidi="en-US"/>
        </w:rPr>
        <w:t>股室，专设后期扶持股。</w:t>
      </w:r>
    </w:p>
    <w:p>
      <w:pPr>
        <w:pStyle w:val="3"/>
        <w:rPr>
          <w:rFonts w:hAnsi="Times New Roman" w:cs="Times New Roman"/>
          <w:szCs w:val="36"/>
        </w:rPr>
      </w:pPr>
      <w:bookmarkStart w:id="95" w:name="_Toc86914860"/>
      <w:r>
        <w:rPr>
          <w:rFonts w:hAnsi="Times New Roman" w:cs="Times New Roman"/>
          <w:szCs w:val="36"/>
        </w:rPr>
        <w:t>1.2</w:t>
      </w:r>
      <w:r>
        <w:rPr>
          <w:rFonts w:hint="eastAsia" w:hAnsi="Times New Roman" w:cs="Times New Roman"/>
          <w:szCs w:val="36"/>
        </w:rPr>
        <w:t>　工作职责及分工</w:t>
      </w:r>
      <w:bookmarkEnd w:id="95"/>
    </w:p>
    <w:p>
      <w:pPr>
        <w:pStyle w:val="43"/>
        <w:ind w:firstLine="560"/>
        <w:rPr>
          <w:lang w:bidi="en-US"/>
        </w:rPr>
      </w:pPr>
      <w:r>
        <w:rPr>
          <w:rFonts w:hint="eastAsia"/>
          <w:lang w:bidi="en-US"/>
        </w:rPr>
        <w:t>随着移民后期扶持工作的深入开展，元谋县建立了一套较完整的管理体系，各级管理部门配备了相应的工作人员，明确了职责权限。元谋县搬迁安置办公室</w:t>
      </w:r>
      <w:r>
        <w:rPr>
          <w:lang w:bidi="en-US"/>
        </w:rPr>
        <w:t>内设机构包括党委办</w:t>
      </w:r>
      <w:r>
        <w:rPr>
          <w:rFonts w:hint="eastAsia"/>
          <w:lang w:bidi="en-US"/>
        </w:rPr>
        <w:t>、</w:t>
      </w:r>
      <w:r>
        <w:rPr>
          <w:lang w:bidi="en-US"/>
        </w:rPr>
        <w:t>综合股</w:t>
      </w:r>
      <w:r>
        <w:rPr>
          <w:rFonts w:hint="eastAsia"/>
          <w:lang w:bidi="en-US"/>
        </w:rPr>
        <w:t>、</w:t>
      </w:r>
      <w:r>
        <w:rPr>
          <w:lang w:bidi="en-US"/>
        </w:rPr>
        <w:t>社会维稳及社会矛盾调处中心</w:t>
      </w:r>
      <w:r>
        <w:rPr>
          <w:rFonts w:hint="eastAsia"/>
          <w:lang w:bidi="en-US"/>
        </w:rPr>
        <w:t>、</w:t>
      </w:r>
      <w:r>
        <w:rPr>
          <w:lang w:bidi="en-US"/>
        </w:rPr>
        <w:t>政策法规股</w:t>
      </w:r>
      <w:r>
        <w:rPr>
          <w:rFonts w:hint="eastAsia"/>
          <w:lang w:bidi="en-US"/>
        </w:rPr>
        <w:t>、</w:t>
      </w:r>
      <w:r>
        <w:rPr>
          <w:lang w:bidi="en-US"/>
        </w:rPr>
        <w:t>财务股</w:t>
      </w:r>
      <w:r>
        <w:rPr>
          <w:rFonts w:hint="eastAsia"/>
          <w:lang w:bidi="en-US"/>
        </w:rPr>
        <w:t>、</w:t>
      </w:r>
      <w:r>
        <w:rPr>
          <w:lang w:bidi="en-US"/>
        </w:rPr>
        <w:t>规划股</w:t>
      </w:r>
      <w:r>
        <w:rPr>
          <w:rFonts w:hint="eastAsia"/>
          <w:lang w:bidi="en-US"/>
        </w:rPr>
        <w:t>、</w:t>
      </w:r>
      <w:r>
        <w:rPr>
          <w:lang w:bidi="en-US"/>
        </w:rPr>
        <w:t>档案管理股</w:t>
      </w:r>
      <w:r>
        <w:rPr>
          <w:rFonts w:hint="eastAsia"/>
          <w:lang w:bidi="en-US"/>
        </w:rPr>
        <w:t>、</w:t>
      </w:r>
      <w:r>
        <w:rPr>
          <w:lang w:bidi="en-US"/>
        </w:rPr>
        <w:t>后期扶持股</w:t>
      </w:r>
      <w:r>
        <w:rPr>
          <w:rFonts w:hint="eastAsia"/>
          <w:lang w:bidi="en-US"/>
        </w:rPr>
        <w:t>、</w:t>
      </w:r>
      <w:r>
        <w:rPr>
          <w:lang w:bidi="en-US"/>
        </w:rPr>
        <w:t>搬迁安置股</w:t>
      </w:r>
      <w:r>
        <w:rPr>
          <w:rFonts w:hint="eastAsia"/>
          <w:lang w:bidi="en-US"/>
        </w:rPr>
        <w:t>、</w:t>
      </w:r>
      <w:r>
        <w:rPr>
          <w:lang w:bidi="en-US"/>
        </w:rPr>
        <w:t>工程技术管理股</w:t>
      </w:r>
      <w:r>
        <w:rPr>
          <w:rFonts w:hint="eastAsia"/>
          <w:lang w:bidi="en-US"/>
        </w:rPr>
        <w:t>、</w:t>
      </w:r>
      <w:r>
        <w:rPr>
          <w:lang w:bidi="en-US"/>
        </w:rPr>
        <w:t>安全生产监督管理股</w:t>
      </w:r>
      <w:r>
        <w:rPr>
          <w:rFonts w:hint="eastAsia"/>
          <w:lang w:bidi="en-US"/>
        </w:rPr>
        <w:t>。</w:t>
      </w:r>
    </w:p>
    <w:p>
      <w:pPr>
        <w:pStyle w:val="43"/>
        <w:ind w:firstLine="560"/>
        <w:rPr>
          <w:lang w:bidi="en-US"/>
        </w:rPr>
      </w:pPr>
      <w:r>
        <w:rPr>
          <w:rFonts w:hint="eastAsia"/>
          <w:lang w:bidi="en-US"/>
        </w:rPr>
        <w:t>综合股负责各项目推进情况统计、上报工作；社会维稳及社会矛盾调处中心负责库区舆情研判工作；政策法规股负责组织实施移民重大问题法律法规的调研、移民政策法律法规宣传解答工作，组织指导好移民库区的平安创建工作；财务股负责后期扶持移民直补资金的审核兑付工作；规划股负责移民安置规划方案、年度计划编制，并组织相关部门对项目完成情况进行监督、检查工作；后期扶持股负责已建成的大中型水利水电工程和其他重点工程移民后期扶持工作，包括全县新建水利水电工程移民后期扶持人口的调查、登记和上报，移民后期扶持规划、基础设施建设和经济发展规划的编制、上报和规划实施管理和指导工作，全县移民后期扶持任务和资金年度计划的编制和统计工作，并组织开展对移民后期扶持政策执行情况的指导、检查和评估工作以及后期扶持相关问题的调研和处理；搬迁安置股负责宣传发动、组织指导乡镇开展移民搬迁安置工作，积极参与移民安置规划、后期扶持的研究，</w:t>
      </w:r>
      <w:r>
        <w:rPr>
          <w:lang w:bidi="en-US"/>
        </w:rPr>
        <w:t>组织实施移民安置工程的评估、验收，对安置的移民进行动态跟踪管理，检验安置效果</w:t>
      </w:r>
      <w:r>
        <w:rPr>
          <w:rFonts w:hint="eastAsia"/>
          <w:lang w:bidi="en-US"/>
        </w:rPr>
        <w:t>；安全生产监督管理股负责与水电移民搬迁安置各项工程建设、施工、监理等单位落实主体责任，强化安全质量管理情况监督检查工作。</w:t>
      </w:r>
    </w:p>
    <w:p>
      <w:pPr>
        <w:pStyle w:val="43"/>
        <w:ind w:firstLine="560"/>
        <w:rPr>
          <w:lang w:bidi="en-US"/>
        </w:rPr>
      </w:pPr>
      <w:r>
        <w:rPr>
          <w:rFonts w:hint="eastAsia"/>
          <w:lang w:bidi="en-US"/>
        </w:rPr>
        <w:t>元谋县大中型水库移民后期扶持工作，依托元谋县搬迁安置办公室，并由各部门有关专家为各类项目提供行业技术指导；涉及乡（镇）成立移民服务点或移民信访联络员，确保扶持政策宣传、人口核定登记及动态管理、直补资金发放以及扶持项目实施等顺利开展；村委成立农户自我组织管理的项目实施小组，形成从县到村的组织管理网络。随着移民后期扶持工作的深入开展，楚雄州、县自上而下逐步建立了一套较完整的管理体系，各级管理部门配备了相应的工作人员，明确职责权限。</w:t>
      </w:r>
    </w:p>
    <w:p>
      <w:pPr>
        <w:widowControl/>
        <w:jc w:val="left"/>
        <w:rPr>
          <w:rFonts w:ascii="Times New Roman" w:hAnsi="Times New Roman" w:eastAsia="黑体" w:cs="Times New Roman"/>
          <w:kern w:val="44"/>
          <w:sz w:val="36"/>
          <w:szCs w:val="36"/>
        </w:rPr>
      </w:pPr>
      <w:r>
        <w:rPr>
          <w:rFonts w:ascii="Times New Roman" w:cs="Times New Roman"/>
        </w:rPr>
        <w:br w:type="page"/>
      </w:r>
    </w:p>
    <w:p>
      <w:pPr>
        <w:pStyle w:val="2"/>
        <w:rPr>
          <w:rFonts w:hAnsi="Times New Roman" w:cs="Times New Roman"/>
        </w:rPr>
      </w:pPr>
      <w:bookmarkStart w:id="96" w:name="_Toc86914861"/>
      <w:r>
        <w:rPr>
          <w:rFonts w:hAnsi="Times New Roman" w:cs="Times New Roman"/>
        </w:rPr>
        <w:t>2</w:t>
      </w:r>
      <w:r>
        <w:rPr>
          <w:rFonts w:hint="eastAsia" w:hAnsi="Times New Roman" w:cs="Times New Roman"/>
        </w:rPr>
        <w:t>　人员保障</w:t>
      </w:r>
      <w:bookmarkEnd w:id="96"/>
    </w:p>
    <w:p>
      <w:pPr>
        <w:pStyle w:val="43"/>
        <w:ind w:firstLine="560"/>
        <w:rPr>
          <w:lang w:bidi="en-US"/>
        </w:rPr>
      </w:pPr>
      <w:r>
        <w:rPr>
          <w:rFonts w:hint="eastAsia"/>
          <w:lang w:bidi="en-US"/>
        </w:rPr>
        <w:t>自大中型水库移民后期扶持政策实施以来，元谋县成立了大中型水库移民后期扶持工作领导小组，领导小组组长由县人民政府副县长担任，县搬迁安置办公室主任担任副组长。成员由县搬迁安置办、发改委、财政局、水利局等主要领导组成。领导小组办公室设在县搬迁安置办、由县搬迁安置办副主任兼任办公室主任，负责处理日常事务工作和工程项目的组织实施，县搬迁安置办全体职员均为小组成员，同时从其他各相关单位抽调工程技术人员参与后扶工作。</w:t>
      </w:r>
    </w:p>
    <w:p>
      <w:pPr>
        <w:widowControl/>
        <w:jc w:val="left"/>
        <w:rPr>
          <w:rFonts w:ascii="Times New Roman" w:hAnsi="Times New Roman" w:eastAsia="黑体" w:cs="Times New Roman"/>
          <w:kern w:val="44"/>
          <w:sz w:val="36"/>
          <w:szCs w:val="36"/>
        </w:rPr>
      </w:pPr>
      <w:r>
        <w:rPr>
          <w:rFonts w:ascii="Times New Roman" w:cs="Times New Roman"/>
        </w:rPr>
        <w:br w:type="page"/>
      </w:r>
    </w:p>
    <w:p>
      <w:pPr>
        <w:pStyle w:val="2"/>
        <w:rPr>
          <w:rFonts w:hAnsi="Times New Roman" w:cs="Times New Roman"/>
        </w:rPr>
      </w:pPr>
      <w:bookmarkStart w:id="97" w:name="_Toc86914862"/>
      <w:r>
        <w:rPr>
          <w:rFonts w:hAnsi="Times New Roman" w:cs="Times New Roman"/>
        </w:rPr>
        <w:t>3</w:t>
      </w:r>
      <w:r>
        <w:rPr>
          <w:rFonts w:hint="eastAsia" w:hAnsi="Times New Roman" w:cs="Times New Roman"/>
        </w:rPr>
        <w:t>　能力保障</w:t>
      </w:r>
      <w:bookmarkEnd w:id="97"/>
    </w:p>
    <w:p>
      <w:pPr>
        <w:pStyle w:val="3"/>
        <w:rPr>
          <w:rFonts w:hAnsi="Times New Roman" w:cs="Times New Roman"/>
          <w:szCs w:val="36"/>
        </w:rPr>
      </w:pPr>
      <w:bookmarkStart w:id="98" w:name="_Toc86914863"/>
      <w:r>
        <w:rPr>
          <w:rFonts w:hAnsi="Times New Roman" w:cs="Times New Roman"/>
          <w:szCs w:val="36"/>
        </w:rPr>
        <w:t>3.1</w:t>
      </w:r>
      <w:r>
        <w:rPr>
          <w:rFonts w:hint="eastAsia" w:hAnsi="Times New Roman" w:cs="Times New Roman"/>
          <w:szCs w:val="36"/>
        </w:rPr>
        <w:t>　能力素质短板</w:t>
      </w:r>
      <w:bookmarkEnd w:id="98"/>
    </w:p>
    <w:p>
      <w:pPr>
        <w:pStyle w:val="43"/>
        <w:ind w:firstLine="560"/>
        <w:rPr>
          <w:lang w:bidi="en-US"/>
        </w:rPr>
      </w:pPr>
      <w:r>
        <w:rPr>
          <w:rFonts w:hint="eastAsia"/>
          <w:lang w:bidi="en-US"/>
        </w:rPr>
        <w:t>县搬迁安置办公室现有专业技术人员</w:t>
      </w:r>
      <w:r>
        <w:rPr>
          <w:lang w:bidi="en-US"/>
        </w:rPr>
        <w:t>9人，事多人少，无法满足工作需要，应对中心工作的时间多，业务学习、培训时间少，外出机会少，眼界不开阔，思维狭窄。</w:t>
      </w:r>
    </w:p>
    <w:p>
      <w:pPr>
        <w:pStyle w:val="3"/>
        <w:rPr>
          <w:rFonts w:hAnsi="Times New Roman" w:cs="Times New Roman"/>
          <w:szCs w:val="36"/>
        </w:rPr>
      </w:pPr>
      <w:bookmarkStart w:id="99" w:name="_Toc86914864"/>
      <w:r>
        <w:rPr>
          <w:rFonts w:hAnsi="Times New Roman" w:cs="Times New Roman"/>
          <w:szCs w:val="36"/>
        </w:rPr>
        <w:t>3.2</w:t>
      </w:r>
      <w:r>
        <w:rPr>
          <w:rFonts w:hint="eastAsia" w:hAnsi="Times New Roman" w:cs="Times New Roman"/>
          <w:szCs w:val="36"/>
        </w:rPr>
        <w:t>　增强能力措施</w:t>
      </w:r>
      <w:bookmarkEnd w:id="99"/>
    </w:p>
    <w:p>
      <w:pPr>
        <w:pStyle w:val="43"/>
        <w:ind w:firstLine="544"/>
        <w:rPr>
          <w:spacing w:val="-4"/>
          <w:lang w:bidi="en-US"/>
        </w:rPr>
      </w:pPr>
      <w:r>
        <w:rPr>
          <w:rFonts w:hint="eastAsia"/>
          <w:spacing w:val="-4"/>
          <w:lang w:bidi="en-US"/>
        </w:rPr>
        <w:t>提高移民干部工作能力，要培养一支热爱移民工作，献身移民区经济发展的高素质的干部队伍。搬迁安置办首先组织办公室工作人员深入移民区调查研究，掌握民情，了解民意。同时安排工作人员到典型移民安置区参加移民安置和后期扶持培训班，学习先进经验。通过实地考察、参观学习，有效提高从事移民干部的整体素质，为全县移民安置区移民群众服务。元谋县积极按照省、州政府关于加强机构能力建设的要求，采取积极措施响应。</w:t>
      </w:r>
    </w:p>
    <w:p>
      <w:pPr>
        <w:pStyle w:val="43"/>
        <w:ind w:firstLine="560"/>
        <w:rPr>
          <w:lang w:bidi="en-US"/>
        </w:rPr>
      </w:pPr>
      <w:r>
        <w:rPr>
          <w:rFonts w:hint="eastAsia"/>
          <w:lang w:bidi="en-US"/>
        </w:rPr>
        <w:t>元谋县搬迁安置办组织</w:t>
      </w:r>
      <w:r>
        <w:rPr>
          <w:lang w:bidi="en-US"/>
        </w:rPr>
        <w:t>学习国家、省、州有关移民后期扶持相关政策</w:t>
      </w:r>
      <w:r>
        <w:rPr>
          <w:rFonts w:hint="eastAsia"/>
          <w:lang w:bidi="en-US"/>
        </w:rPr>
        <w:t>；</w:t>
      </w:r>
    </w:p>
    <w:p>
      <w:pPr>
        <w:pStyle w:val="43"/>
        <w:ind w:firstLine="560"/>
        <w:rPr>
          <w:lang w:bidi="en-US"/>
        </w:rPr>
      </w:pPr>
      <w:r>
        <w:rPr>
          <w:lang w:bidi="en-US"/>
        </w:rPr>
        <w:t>加强办公设施和设备更新建设，改善办公条件，从而保障移民后期</w:t>
      </w:r>
      <w:r>
        <w:rPr>
          <w:rFonts w:hint="eastAsia"/>
          <w:lang w:bidi="en-US"/>
        </w:rPr>
        <w:t>扶持项目有效实施；</w:t>
      </w:r>
    </w:p>
    <w:p>
      <w:pPr>
        <w:pStyle w:val="43"/>
        <w:ind w:firstLine="560"/>
        <w:rPr>
          <w:lang w:bidi="en-US"/>
        </w:rPr>
      </w:pPr>
      <w:r>
        <w:rPr>
          <w:rFonts w:hint="eastAsia"/>
          <w:lang w:bidi="en-US"/>
        </w:rPr>
        <w:t>以科学的发展观和正确的政绩观指导领导班子建设，强化武装，加强管理意识，努力推进依法行政，清廉执政，始终坚持把移民群众的利益放在第一位，完善制度抓服务，为了树立移民干部队伍廉洁、高效、文明的良好形象，先后制订并完善岗位责任制、考勤制度、学习制度、项目管理办法和移民资金管理制度。严格按照项目管理制度，资金管理制度；</w:t>
      </w:r>
    </w:p>
    <w:p>
      <w:pPr>
        <w:pStyle w:val="43"/>
        <w:ind w:firstLine="560"/>
        <w:rPr>
          <w:rFonts w:ascii="Times New Roman" w:hAnsi="Times New Roman" w:eastAsia="黑体" w:cs="Times New Roman"/>
          <w:kern w:val="44"/>
          <w:sz w:val="36"/>
          <w:szCs w:val="36"/>
        </w:rPr>
      </w:pPr>
      <w:r>
        <w:rPr>
          <w:rFonts w:hint="eastAsia"/>
          <w:lang w:bidi="en-US"/>
        </w:rPr>
        <w:t>加强对移民干部的培训，有针对性地培训从事移民后期扶持项目管理和实施的工作和专业技术人员，提高他们的管理水平和实施项目的工作能力，从业务技能上保证移民后期扶持项目的顺利实施。</w:t>
      </w:r>
      <w:r>
        <w:rPr>
          <w:rFonts w:ascii="Times New Roman" w:cs="Times New Roman"/>
        </w:rPr>
        <w:br w:type="page"/>
      </w:r>
    </w:p>
    <w:p>
      <w:pPr>
        <w:pStyle w:val="2"/>
        <w:rPr>
          <w:rFonts w:hAnsi="Times New Roman" w:cs="Times New Roman"/>
        </w:rPr>
      </w:pPr>
      <w:bookmarkStart w:id="100" w:name="_Toc86914865"/>
      <w:r>
        <w:rPr>
          <w:rFonts w:hAnsi="Times New Roman" w:cs="Times New Roman"/>
        </w:rPr>
        <w:t>4</w:t>
      </w:r>
      <w:r>
        <w:rPr>
          <w:rFonts w:hint="eastAsia" w:hAnsi="Times New Roman" w:cs="Times New Roman"/>
        </w:rPr>
        <w:t>　作风保障</w:t>
      </w:r>
      <w:bookmarkEnd w:id="100"/>
    </w:p>
    <w:p>
      <w:pPr>
        <w:pStyle w:val="3"/>
        <w:rPr>
          <w:rFonts w:hAnsi="Times New Roman" w:cs="Times New Roman"/>
          <w:szCs w:val="36"/>
        </w:rPr>
      </w:pPr>
      <w:bookmarkStart w:id="101" w:name="_Toc86914866"/>
      <w:r>
        <w:rPr>
          <w:rFonts w:hAnsi="Times New Roman" w:cs="Times New Roman"/>
          <w:szCs w:val="36"/>
        </w:rPr>
        <w:t>4.1</w:t>
      </w:r>
      <w:r>
        <w:rPr>
          <w:rFonts w:hint="eastAsia" w:hAnsi="Times New Roman" w:cs="Times New Roman"/>
          <w:szCs w:val="36"/>
        </w:rPr>
        <w:t>　制度建设</w:t>
      </w:r>
      <w:bookmarkEnd w:id="101"/>
    </w:p>
    <w:p>
      <w:pPr>
        <w:pStyle w:val="43"/>
        <w:ind w:firstLine="562"/>
        <w:rPr>
          <w:lang w:bidi="en-US"/>
        </w:rPr>
      </w:pPr>
      <w:r>
        <w:rPr>
          <w:rFonts w:hint="eastAsia"/>
          <w:b/>
          <w:lang w:bidi="en-US"/>
        </w:rPr>
        <w:t>一是</w:t>
      </w:r>
      <w:r>
        <w:rPr>
          <w:rFonts w:hint="eastAsia"/>
          <w:lang w:bidi="en-US"/>
        </w:rPr>
        <w:t>抓实宣传教育，筑牢思想防线。把党风廉政建设工作任务分解落实到各班子成员、各股室和指挥部，做到早安排、早部署，加强对干部职工的教育、引导和管理，筑牢思想防线。</w:t>
      </w:r>
      <w:r>
        <w:rPr>
          <w:rFonts w:hint="eastAsia"/>
          <w:b/>
          <w:lang w:bidi="en-US"/>
        </w:rPr>
        <w:t>二是</w:t>
      </w:r>
      <w:r>
        <w:rPr>
          <w:rFonts w:hint="eastAsia"/>
          <w:lang w:bidi="en-US"/>
        </w:rPr>
        <w:t>抓实政治纪律，增强规矩意识，着力解决少数党员党的观念淡薄、政治纪律观念不强的问题。</w:t>
      </w:r>
      <w:r>
        <w:rPr>
          <w:rFonts w:hint="eastAsia"/>
          <w:b/>
          <w:lang w:bidi="en-US"/>
        </w:rPr>
        <w:t>三是</w:t>
      </w:r>
      <w:r>
        <w:rPr>
          <w:rFonts w:hint="eastAsia"/>
          <w:lang w:bidi="en-US"/>
        </w:rPr>
        <w:t>抓实主体责任，发挥“头雁”效应。及时召开党委会、党风廉政建设工作会议、意识形态工作研判会议，班子成员对分管股室干部职工纪律作风状况作分析，听取党风廉政建设工作情况报告，开展廉政提醒谈话，听取意识形态研判报告，通报督查有关情况。多形式多频次研究部署党风廉政建设工作，把党风廉政建设和反腐败斗争工作贯穿于移民搬迁安置及后期扶持工作始终，贯穿于各个环节。</w:t>
      </w:r>
    </w:p>
    <w:p>
      <w:pPr>
        <w:pStyle w:val="3"/>
        <w:rPr>
          <w:rFonts w:hAnsi="Times New Roman" w:cs="Times New Roman"/>
          <w:szCs w:val="36"/>
        </w:rPr>
      </w:pPr>
      <w:bookmarkStart w:id="102" w:name="_Toc86914867"/>
      <w:r>
        <w:rPr>
          <w:rFonts w:hAnsi="Times New Roman" w:cs="Times New Roman"/>
          <w:szCs w:val="36"/>
        </w:rPr>
        <w:t>4.2</w:t>
      </w:r>
      <w:r>
        <w:rPr>
          <w:rFonts w:hint="eastAsia" w:hAnsi="Times New Roman" w:cs="Times New Roman"/>
          <w:szCs w:val="36"/>
        </w:rPr>
        <w:t>　专项行动</w:t>
      </w:r>
      <w:bookmarkEnd w:id="102"/>
    </w:p>
    <w:p>
      <w:pPr>
        <w:pStyle w:val="43"/>
        <w:ind w:firstLine="562"/>
        <w:rPr>
          <w:rFonts w:ascii="Times New Roman" w:hAnsi="Times New Roman" w:eastAsia="黑体" w:cs="Times New Roman"/>
          <w:kern w:val="44"/>
          <w:sz w:val="36"/>
          <w:szCs w:val="36"/>
        </w:rPr>
      </w:pPr>
      <w:r>
        <w:rPr>
          <w:rFonts w:hint="eastAsia"/>
          <w:b/>
          <w:lang w:bidi="en-US"/>
        </w:rPr>
        <w:t>一是</w:t>
      </w:r>
      <w:r>
        <w:rPr>
          <w:rFonts w:hint="eastAsia"/>
          <w:lang w:bidi="en-US"/>
        </w:rPr>
        <w:t>注重加强干部职工的教育，深入贯彻落实中央八项规定，深入贯彻习近平总书记关于进一步纠正“四风”，加强作风建设的重要批示精神，坚决整治形式主义、官僚主义等“四风”突出问题。</w:t>
      </w:r>
      <w:r>
        <w:rPr>
          <w:rFonts w:hint="eastAsia"/>
          <w:b/>
          <w:lang w:bidi="en-US"/>
        </w:rPr>
        <w:t>二是</w:t>
      </w:r>
      <w:r>
        <w:rPr>
          <w:rFonts w:hint="eastAsia"/>
          <w:lang w:bidi="en-US"/>
        </w:rPr>
        <w:t>严格执行公务接待管理规定，坚持凭公函、先审批后开展公务接待，不超标准、超范围接待。</w:t>
      </w:r>
      <w:r>
        <w:rPr>
          <w:rFonts w:hint="eastAsia"/>
          <w:b/>
          <w:lang w:bidi="en-US"/>
        </w:rPr>
        <w:t>三是</w:t>
      </w:r>
      <w:r>
        <w:rPr>
          <w:rFonts w:hint="eastAsia"/>
          <w:lang w:bidi="en-US"/>
        </w:rPr>
        <w:t>严格执行公务用车管理制度，坚持线上申报和线下派车制度，坚持先审批后出车，没有违规配备使用公务用车，没有公车私用的情况发生。</w:t>
      </w:r>
      <w:r>
        <w:rPr>
          <w:rFonts w:hint="eastAsia"/>
          <w:b/>
          <w:lang w:bidi="en-US"/>
        </w:rPr>
        <w:t>四是</w:t>
      </w:r>
      <w:r>
        <w:rPr>
          <w:rFonts w:hint="eastAsia"/>
          <w:lang w:bidi="en-US"/>
        </w:rPr>
        <w:t>认真贯彻落实基层减负年相关要求，大力精简文件、会议、督查，“三公经费”严格按照年度预算执行。</w:t>
      </w:r>
      <w:r>
        <w:rPr>
          <w:rFonts w:hint="eastAsia"/>
          <w:b/>
          <w:lang w:bidi="en-US"/>
        </w:rPr>
        <w:t>五是</w:t>
      </w:r>
      <w:r>
        <w:rPr>
          <w:rFonts w:hint="eastAsia"/>
          <w:lang w:bidi="en-US"/>
        </w:rPr>
        <w:t>领导及干部职工如实报备婚丧喜庆事宜，没有发生大操大办的现象。</w:t>
      </w:r>
      <w:r>
        <w:rPr>
          <w:rFonts w:hint="eastAsia"/>
          <w:b/>
          <w:lang w:bidi="en-US"/>
        </w:rPr>
        <w:t>六是</w:t>
      </w:r>
      <w:r>
        <w:rPr>
          <w:rFonts w:hint="eastAsia"/>
          <w:lang w:bidi="en-US"/>
        </w:rPr>
        <w:t>完善纪律作风督查制度，加强单位内部纪律作风督查，全面加强干部职工的纪律作风建设。</w:t>
      </w:r>
      <w:r>
        <w:rPr>
          <w:rFonts w:ascii="Times New Roman" w:cs="Times New Roman"/>
        </w:rPr>
        <w:br w:type="page"/>
      </w:r>
    </w:p>
    <w:p>
      <w:pPr>
        <w:pStyle w:val="2"/>
        <w:rPr>
          <w:rFonts w:hAnsi="Times New Roman" w:cs="Times New Roman"/>
        </w:rPr>
      </w:pPr>
      <w:bookmarkStart w:id="103" w:name="_Toc86914868"/>
      <w:r>
        <w:rPr>
          <w:rFonts w:hAnsi="Times New Roman" w:cs="Times New Roman"/>
        </w:rPr>
        <w:t>5</w:t>
      </w:r>
      <w:r>
        <w:rPr>
          <w:rFonts w:hint="eastAsia" w:hAnsi="Times New Roman" w:cs="Times New Roman"/>
        </w:rPr>
        <w:t>　纪律保障</w:t>
      </w:r>
      <w:bookmarkEnd w:id="103"/>
    </w:p>
    <w:p>
      <w:pPr>
        <w:pStyle w:val="3"/>
        <w:rPr>
          <w:rFonts w:hAnsi="Times New Roman" w:cs="Times New Roman"/>
          <w:szCs w:val="36"/>
        </w:rPr>
      </w:pPr>
      <w:bookmarkStart w:id="104" w:name="_Toc86914869"/>
      <w:r>
        <w:rPr>
          <w:rFonts w:hAnsi="Times New Roman" w:cs="Times New Roman"/>
          <w:szCs w:val="36"/>
        </w:rPr>
        <w:t>5.1</w:t>
      </w:r>
      <w:r>
        <w:rPr>
          <w:rFonts w:hint="eastAsia" w:hAnsi="Times New Roman" w:cs="Times New Roman"/>
          <w:szCs w:val="36"/>
        </w:rPr>
        <w:t>　全面从严治党和党风廉政建设及反腐败工作</w:t>
      </w:r>
      <w:bookmarkEnd w:id="104"/>
    </w:p>
    <w:p>
      <w:pPr>
        <w:pStyle w:val="43"/>
        <w:ind w:firstLine="562"/>
        <w:rPr>
          <w:lang w:bidi="en-US"/>
        </w:rPr>
      </w:pPr>
      <w:r>
        <w:rPr>
          <w:rFonts w:hint="eastAsia"/>
          <w:b/>
          <w:lang w:bidi="en-US"/>
        </w:rPr>
        <w:t>一是</w:t>
      </w:r>
      <w:r>
        <w:rPr>
          <w:rFonts w:hint="eastAsia"/>
          <w:lang w:bidi="en-US"/>
        </w:rPr>
        <w:t>坚持用习近平新时代中国特色社会主义思想武装头脑。认真组织学习习近平总书记系列重要讲话及中央和省州县各级党委政府有关会议精神。通过学习，精准把握习近平总书记系列重要讲话和考察云南重要讲话的精神实质和丰富内涵，切实在学懂弄通做实上下苦功夫，在解放思想中统一思想，在深化认识中提高认识，切实增强贯彻落实的思想自觉、政治自觉和行动自觉，奋力把总书记的殷切嘱托转化为推动移民搬迁安置各项工作的强大动力。</w:t>
      </w:r>
      <w:r>
        <w:rPr>
          <w:rFonts w:hint="eastAsia"/>
          <w:b/>
          <w:lang w:bidi="en-US"/>
        </w:rPr>
        <w:t>二是</w:t>
      </w:r>
      <w:r>
        <w:rPr>
          <w:rFonts w:hint="eastAsia"/>
          <w:lang w:bidi="en-US"/>
        </w:rPr>
        <w:t>扎实巩固好“不忘初心、牢记使命”主题教育成果。始终把“不忘初心、牢记使命”作为永恒课题、终身课题，经常进行思想政治体检，同党中央要求“对标”，拿党章党规“扫描”，用人民群众新期待“透视”，同先辈先烈、先进典型“对照”，用反面典型案例“警醒”，不断叩问初心、守护初心，不断坚守使命、担当使命</w:t>
      </w:r>
      <w:r>
        <w:rPr>
          <w:lang w:bidi="en-US"/>
        </w:rPr>
        <w:t>, 始终做到初心如磐、使命在肩，推动主题教育成果转化常态化长效化。</w:t>
      </w:r>
      <w:r>
        <w:rPr>
          <w:b/>
          <w:lang w:bidi="en-US"/>
        </w:rPr>
        <w:t>三是</w:t>
      </w:r>
      <w:r>
        <w:rPr>
          <w:lang w:bidi="en-US"/>
        </w:rPr>
        <w:t>认真落实全面从严治党主体责任，按照“党建引领跨越发展，组织保障移民搬迁”的工作思路，深入开展全面从严治党“六个年”工作和“十个一”警示教育，严格落实“十包”工作责任制和移民安置“十个一”、移民搬迁安置工作“十不准纪律”要求，不断推进党的政治、思想、组织和纪律作风建设</w:t>
      </w:r>
      <w:r>
        <w:rPr>
          <w:rFonts w:hint="eastAsia"/>
          <w:lang w:bidi="en-US"/>
        </w:rPr>
        <w:t>，深入推进反腐败斗争，不断提升基层党的建设质量。</w:t>
      </w:r>
    </w:p>
    <w:p>
      <w:pPr>
        <w:pStyle w:val="3"/>
        <w:rPr>
          <w:rFonts w:hAnsi="Times New Roman" w:cs="Times New Roman"/>
          <w:szCs w:val="36"/>
        </w:rPr>
      </w:pPr>
      <w:bookmarkStart w:id="105" w:name="_Toc86914870"/>
      <w:r>
        <w:rPr>
          <w:rFonts w:hAnsi="Times New Roman" w:cs="Times New Roman"/>
          <w:szCs w:val="36"/>
        </w:rPr>
        <w:t>5.2</w:t>
      </w:r>
      <w:r>
        <w:rPr>
          <w:rFonts w:hint="eastAsia" w:hAnsi="Times New Roman" w:cs="Times New Roman"/>
          <w:szCs w:val="36"/>
        </w:rPr>
        <w:t>　防控长效机制与措施</w:t>
      </w:r>
      <w:bookmarkEnd w:id="105"/>
    </w:p>
    <w:p>
      <w:pPr>
        <w:pStyle w:val="43"/>
        <w:ind w:firstLine="562"/>
      </w:pPr>
      <w:r>
        <w:rPr>
          <w:rFonts w:hint="eastAsia"/>
          <w:b/>
          <w:lang w:bidi="en-US"/>
        </w:rPr>
        <w:t>一是</w:t>
      </w:r>
      <w:r>
        <w:rPr>
          <w:rFonts w:hint="eastAsia"/>
          <w:lang w:bidi="en-US"/>
        </w:rPr>
        <w:t>充分发挥延伸监督的“探头”作用。积极支持县纪委县监委派驻纪检监察组开展工作，邀请派驻纪检监察组负责人列席县搬迁安置办党委会议作指导，纪检监察组积极履行职责，认真开展监督检查工作，随时提醒打招呼，履行监督责任。</w:t>
      </w:r>
      <w:r>
        <w:rPr>
          <w:rFonts w:hint="eastAsia"/>
          <w:b/>
          <w:lang w:bidi="en-US"/>
        </w:rPr>
        <w:t>二是</w:t>
      </w:r>
      <w:r>
        <w:rPr>
          <w:rFonts w:hint="eastAsia"/>
          <w:lang w:bidi="en-US"/>
        </w:rPr>
        <w:t>全体干部职工作出廉洁从政承诺，签订廉洁从政承诺书。</w:t>
      </w:r>
    </w:p>
    <w:p>
      <w:pPr>
        <w:widowControl/>
        <w:jc w:val="left"/>
        <w:rPr>
          <w:rFonts w:ascii="Times New Roman" w:hAnsi="Times New Roman" w:eastAsia="黑体" w:cs="Times New Roman"/>
          <w:kern w:val="44"/>
          <w:sz w:val="36"/>
          <w:szCs w:val="36"/>
        </w:rPr>
      </w:pPr>
      <w:r>
        <w:rPr>
          <w:rFonts w:ascii="Times New Roman" w:cs="Times New Roman"/>
        </w:rPr>
        <w:br w:type="page"/>
      </w:r>
    </w:p>
    <w:p>
      <w:pPr>
        <w:pStyle w:val="2"/>
        <w:rPr>
          <w:rFonts w:hAnsi="Times New Roman" w:cs="Times New Roman"/>
        </w:rPr>
      </w:pPr>
      <w:bookmarkStart w:id="106" w:name="_Toc86914871"/>
      <w:r>
        <w:rPr>
          <w:rFonts w:hAnsi="Times New Roman" w:cs="Times New Roman"/>
        </w:rPr>
        <w:t>6</w:t>
      </w:r>
      <w:r>
        <w:rPr>
          <w:rFonts w:hint="eastAsia" w:hAnsi="Times New Roman" w:cs="Times New Roman"/>
        </w:rPr>
        <w:t>　政策保障</w:t>
      </w:r>
      <w:bookmarkEnd w:id="106"/>
    </w:p>
    <w:p>
      <w:pPr>
        <w:pStyle w:val="43"/>
        <w:ind w:firstLine="560"/>
        <w:rPr>
          <w:lang w:bidi="en-US"/>
        </w:rPr>
      </w:pPr>
      <w:r>
        <w:rPr>
          <w:rFonts w:hint="eastAsia"/>
          <w:lang w:bidi="en-US"/>
        </w:rPr>
        <w:t>积极完善与规划相配套的各项政策措施，综合运用经济、法律、政策手段推进规划实施，鼓励引导企业等社会主体参与规划实施，引导各类资源向规划重点项目配置。着力整顿和规范市场经济秩序，保护公平竞争，改善政务环境、招商引资环境、旅游环境、生态环境和社会环境，完善服务措施，营造良好投资环境和发展环境。</w:t>
      </w:r>
    </w:p>
    <w:p>
      <w:pPr>
        <w:pStyle w:val="43"/>
        <w:ind w:firstLine="560"/>
        <w:rPr>
          <w:lang w:bidi="en-US"/>
        </w:rPr>
      </w:pPr>
      <w:r>
        <w:rPr>
          <w:rFonts w:hint="eastAsia"/>
          <w:lang w:bidi="en-US"/>
        </w:rPr>
        <w:t>为做好移民搬迁安置和后期扶持工作，元谋县人民政府积极落实国家和省、州相关政策规定，确保“十四五”期间元谋县移民搬迁安置和后期扶持工作的顺利实施。</w:t>
      </w:r>
    </w:p>
    <w:p>
      <w:pPr>
        <w:widowControl/>
        <w:jc w:val="left"/>
        <w:rPr>
          <w:rFonts w:ascii="Times New Roman" w:hAnsi="Times New Roman" w:eastAsia="黑体" w:cs="Times New Roman"/>
          <w:kern w:val="44"/>
          <w:sz w:val="36"/>
          <w:szCs w:val="36"/>
        </w:rPr>
      </w:pPr>
      <w:r>
        <w:rPr>
          <w:rFonts w:ascii="Times New Roman" w:cs="Times New Roman"/>
        </w:rPr>
        <w:br w:type="page"/>
      </w:r>
    </w:p>
    <w:p>
      <w:pPr>
        <w:pStyle w:val="2"/>
        <w:rPr>
          <w:rFonts w:hAnsi="Times New Roman" w:cs="Times New Roman"/>
        </w:rPr>
      </w:pPr>
      <w:bookmarkStart w:id="107" w:name="_Toc86914872"/>
      <w:r>
        <w:rPr>
          <w:rFonts w:hAnsi="Times New Roman" w:cs="Times New Roman"/>
        </w:rPr>
        <w:t>7</w:t>
      </w:r>
      <w:r>
        <w:rPr>
          <w:rFonts w:hint="eastAsia" w:hAnsi="Times New Roman" w:cs="Times New Roman"/>
        </w:rPr>
        <w:t>　强化监督管理</w:t>
      </w:r>
      <w:bookmarkEnd w:id="107"/>
    </w:p>
    <w:p>
      <w:pPr>
        <w:pStyle w:val="54"/>
        <w:ind w:firstLine="560"/>
      </w:pPr>
      <w:r>
        <w:rPr>
          <w:rFonts w:hint="eastAsia"/>
        </w:rPr>
        <w:t>（1）行政监管</w:t>
      </w:r>
    </w:p>
    <w:p>
      <w:pPr>
        <w:pStyle w:val="43"/>
        <w:ind w:firstLine="560"/>
        <w:rPr>
          <w:lang w:bidi="en-US"/>
        </w:rPr>
      </w:pPr>
      <w:r>
        <w:rPr>
          <w:rFonts w:hint="eastAsia"/>
          <w:lang w:bidi="en-US"/>
        </w:rPr>
        <w:t>结合本地实际，严格按规划编制实施计划，并按要求及时上报。编制规划要在认真调查的基础上进行，工作认真踏实，数字详实，有较强的操作性。项目一经批准，就必须严格按照省、州下达的计划和批准的实施方案组织实施，自觉维护计划的严肃性，不得擅自变更建设地点和建设内容，如发生特殊情况，确需变更建设地点及内容，要按基本建设管理程序报批，确保项目按计划实施，提高投资效益。</w:t>
      </w:r>
    </w:p>
    <w:p>
      <w:pPr>
        <w:pStyle w:val="54"/>
        <w:ind w:firstLine="560"/>
      </w:pPr>
      <w:r>
        <w:rPr>
          <w:rFonts w:hint="eastAsia"/>
        </w:rPr>
        <w:t>（2）监督检查</w:t>
      </w:r>
    </w:p>
    <w:p>
      <w:pPr>
        <w:pStyle w:val="43"/>
        <w:ind w:firstLine="560"/>
        <w:rPr>
          <w:lang w:bidi="en-US"/>
        </w:rPr>
      </w:pPr>
      <w:r>
        <w:rPr>
          <w:rFonts w:hint="eastAsia"/>
          <w:lang w:bidi="en-US"/>
        </w:rPr>
        <w:t>项目建设在县委、</w:t>
      </w:r>
      <w:r>
        <w:rPr>
          <w:rFonts w:hint="eastAsia"/>
          <w:lang w:eastAsia="zh-CN" w:bidi="en-US"/>
        </w:rPr>
        <w:t>县</w:t>
      </w:r>
      <w:r>
        <w:rPr>
          <w:rFonts w:hint="eastAsia"/>
          <w:lang w:bidi="en-US"/>
        </w:rPr>
        <w:t>政府和县大中型水库移民后期扶持工作领导小组的领导下开展工作，监察、质检部门定期检查工程质量，审计部门按时对工程进行审计，防止挤占、挪用、贪污工程资金和豆腐渣工程现象的发生，一旦发现，将严肃处理。让工程技术人员住到一线工地，对工程进行现场指导把关，确保工程建设按时按质按量完成，使工程建设发挥效益。同时及时上报统计数据。</w:t>
      </w:r>
    </w:p>
    <w:p>
      <w:pPr>
        <w:pStyle w:val="54"/>
        <w:ind w:firstLine="560"/>
      </w:pPr>
      <w:r>
        <w:rPr>
          <w:rFonts w:hint="eastAsia"/>
        </w:rPr>
        <w:t>（3）监督评估</w:t>
      </w:r>
    </w:p>
    <w:p>
      <w:pPr>
        <w:pStyle w:val="43"/>
        <w:ind w:firstLine="560"/>
        <w:rPr>
          <w:lang w:bidi="en-US"/>
        </w:rPr>
      </w:pPr>
      <w:r>
        <w:rPr>
          <w:rFonts w:hint="eastAsia"/>
          <w:lang w:bidi="en-US"/>
        </w:rPr>
        <w:t>在整个项目实施中，通过与基层移民管理机构座谈，了解后期扶持实施的全面信息，掌握报告期内的后期扶持政策实施进展情况，在库区和移民安置区，召开移民和移民村代表及所涉及的乡镇部门参加的座谈会，收集后期扶持人口核定登记情况、后期扶持资金发放和使用情况、后期扶持项目的作用和效果、移民群众生产生活变化情况、移民群众对后期扶持政策实施工作的意见和建议。</w:t>
      </w:r>
    </w:p>
    <w:p>
      <w:pPr>
        <w:pStyle w:val="43"/>
        <w:ind w:firstLine="560"/>
        <w:rPr>
          <w:lang w:bidi="en-US"/>
        </w:rPr>
      </w:pPr>
      <w:r>
        <w:rPr>
          <w:rFonts w:hint="eastAsia"/>
          <w:lang w:bidi="en-US"/>
        </w:rPr>
        <w:t>对比分析后期扶持政策实施效果，包括：纵向对比后期扶持政策实施基准年与检测年移民自身的生产生活水平，横向对比监测年移民与当地农村居民的生产生活水平，分析移民的生产生活条件和水平变化情况，评估后期扶持政策实施对移民生产生活的影响。积极邀请监察、质检、审计部门定期或不定期对工程进行监测评估，工程技术人员全程对工程进行指导和把关，工程建设一定能够按照设计和批复完成，保障工程发挥更大效益。</w:t>
      </w:r>
    </w:p>
    <w:p>
      <w:pPr>
        <w:pStyle w:val="54"/>
        <w:ind w:firstLine="560"/>
      </w:pPr>
      <w:r>
        <w:rPr>
          <w:rFonts w:hint="eastAsia"/>
        </w:rPr>
        <w:t>（4）移民参与、协商和监督</w:t>
      </w:r>
    </w:p>
    <w:p>
      <w:pPr>
        <w:pStyle w:val="43"/>
        <w:ind w:firstLine="560"/>
        <w:rPr>
          <w:lang w:bidi="en-US"/>
        </w:rPr>
      </w:pPr>
      <w:r>
        <w:rPr>
          <w:rFonts w:hint="eastAsia"/>
          <w:lang w:bidi="en-US"/>
        </w:rPr>
        <w:t>随着改革开放和现代化建设的发展，公众对国家政治和社会生活的参与意识、对权利和利益的保护要求、对自身能力的发挥和自身价值的追求将呈现出越来越积极的发展趋势。人民群众的民主</w:t>
      </w:r>
      <w:r>
        <w:rPr>
          <w:rFonts w:hint="eastAsia"/>
          <w:lang w:eastAsia="zh-CN" w:bidi="en-US"/>
        </w:rPr>
        <w:t>法</w:t>
      </w:r>
      <w:bookmarkStart w:id="113" w:name="_GoBack"/>
      <w:bookmarkEnd w:id="113"/>
      <w:r>
        <w:rPr>
          <w:rFonts w:hint="eastAsia"/>
          <w:lang w:bidi="en-US"/>
        </w:rPr>
        <w:t>意识不断增强，政治参与的积极性不断提高。紧紧围绕行政决策、执行、管理、服务、结果等重点环节，坚持以公开为常态、不公开为例外的原则，加大公开力度、扩大公开范围、优化公开形式、细化公开内容，依法、主动、及时、准确公开政府信息，着力强化政府信息主动公开工作，全面梳理本地本部门政府信息，进一步细化主动公开内容的范围和目录，完善政府信息公开指南，并及时更新。</w:t>
      </w:r>
    </w:p>
    <w:p>
      <w:pPr>
        <w:pStyle w:val="43"/>
        <w:ind w:firstLine="560"/>
        <w:rPr>
          <w:lang w:bidi="en-US"/>
        </w:rPr>
      </w:pPr>
      <w:r>
        <w:rPr>
          <w:rFonts w:hint="eastAsia"/>
          <w:lang w:bidi="en-US"/>
        </w:rPr>
        <w:t>严格落实公开属性源头认定机制，对制作形成或在履行职责中获取的政府信息，依法依规明确公开属性，对属于依申请公开或不予公开的，应说明理由。对涉及公民、法人或其他组织权利和义务的规范性文件，严格按照条例和规定要求，全面、准确、集中有序发布，分类公开。</w:t>
      </w:r>
    </w:p>
    <w:p>
      <w:pPr>
        <w:pStyle w:val="43"/>
        <w:ind w:firstLine="560"/>
        <w:rPr>
          <w:lang w:bidi="en-US"/>
        </w:rPr>
      </w:pPr>
      <w:r>
        <w:rPr>
          <w:rFonts w:hint="eastAsia"/>
          <w:lang w:bidi="en-US"/>
        </w:rPr>
        <w:t>在今后工作中认真做好政策解读及回应工作，建立健全重要政策解读机制，全面推行行政文件与解读方案同步起草、同步审批、同步发布“三同步”制度，加大政策宣传力度，及时准确传达国家和省州党委、政府关于大中型水库移民后期扶持的重大工作部署和重要政策措施，增加工作的透明度。要进一步加强县政府网站信息内容建设，优化整合政府信息发布体系，充分发挥政府门户网站在信息公开中的主渠道作用，全面提升政府网站的权威性和影响力。</w:t>
      </w:r>
    </w:p>
    <w:p>
      <w:pPr>
        <w:pStyle w:val="43"/>
        <w:ind w:firstLine="560"/>
        <w:rPr>
          <w:rFonts w:eastAsia="黑体"/>
          <w:kern w:val="44"/>
          <w:sz w:val="36"/>
          <w:szCs w:val="36"/>
        </w:rPr>
      </w:pPr>
      <w:r>
        <w:rPr>
          <w:rFonts w:hint="eastAsia"/>
          <w:lang w:bidi="en-US"/>
        </w:rPr>
        <w:t>项目从规划到实施，均要求各级领导干部、村民小组党员、村民代表的参与，并对项目建设项目名称，项目建设责任人，建设地点和建设内容，项目总投资及资金来源，资金安排使用情况，参与项目建设各有关部门的责任和服务承诺，项目招标、投标办法和招投标结果，项目监理情况，监理人员及监理内容，建材、设备采购办法及要求，工程验收程序和验收办法等内容进行公示。发动社会各界，特别是项目区的广大干部、群众参与到项目建设的监督、管理中来。</w:t>
      </w:r>
      <w:r>
        <w:br w:type="page"/>
      </w:r>
    </w:p>
    <w:p>
      <w:pPr>
        <w:pStyle w:val="2"/>
        <w:rPr>
          <w:rFonts w:hAnsi="Times New Roman" w:cs="Times New Roman"/>
        </w:rPr>
      </w:pPr>
      <w:bookmarkStart w:id="108" w:name="_Toc86914873"/>
      <w:r>
        <w:rPr>
          <w:rFonts w:hAnsi="Times New Roman" w:cs="Times New Roman"/>
        </w:rPr>
        <w:t>8</w:t>
      </w:r>
      <w:r>
        <w:rPr>
          <w:rFonts w:hint="eastAsia" w:hAnsi="Times New Roman" w:cs="Times New Roman"/>
        </w:rPr>
        <w:t>　运营管理</w:t>
      </w:r>
      <w:bookmarkEnd w:id="108"/>
    </w:p>
    <w:p>
      <w:pPr>
        <w:pStyle w:val="43"/>
        <w:ind w:firstLine="560"/>
        <w:rPr>
          <w:lang w:bidi="en-US"/>
        </w:rPr>
      </w:pPr>
      <w:r>
        <w:rPr>
          <w:rFonts w:hint="eastAsia"/>
          <w:lang w:bidi="en-US"/>
        </w:rPr>
        <w:t>以农村</w:t>
      </w:r>
      <w:r>
        <w:rPr>
          <w:lang w:bidi="en-US"/>
        </w:rPr>
        <w:t>“</w:t>
      </w:r>
      <w:r>
        <w:rPr>
          <w:rFonts w:hint="eastAsia"/>
          <w:lang w:bidi="en-US"/>
        </w:rPr>
        <w:t>三变</w:t>
      </w:r>
      <w:r>
        <w:rPr>
          <w:lang w:bidi="en-US"/>
        </w:rPr>
        <w:t>”</w:t>
      </w:r>
      <w:r>
        <w:rPr>
          <w:rFonts w:hint="eastAsia"/>
          <w:lang w:bidi="en-US"/>
        </w:rPr>
        <w:t>（资源变资产、资金变股东和村民变股东）改革引领移民村运营，盘活村组经济和资源。农民及由农民组建的合作社作为载体进行市场活动，寻找市场机会，进行资源整合，发挥自身优势，联合闯市场。整合土地资源，对农用地和经营性建设用地进行规模化承包，建立</w:t>
      </w:r>
      <w:r>
        <w:rPr>
          <w:lang w:bidi="en-US"/>
        </w:rPr>
        <w:t>“</w:t>
      </w:r>
      <w:r>
        <w:rPr>
          <w:rFonts w:hint="eastAsia"/>
          <w:lang w:bidi="en-US"/>
        </w:rPr>
        <w:t>龙头企业</w:t>
      </w:r>
      <w:r>
        <w:rPr>
          <w:lang w:bidi="en-US"/>
        </w:rPr>
        <w:t>+</w:t>
      </w:r>
      <w:r>
        <w:rPr>
          <w:rFonts w:hint="eastAsia"/>
          <w:lang w:bidi="en-US"/>
        </w:rPr>
        <w:t>农村合作社</w:t>
      </w:r>
      <w:r>
        <w:rPr>
          <w:lang w:bidi="en-US"/>
        </w:rPr>
        <w:t>+</w:t>
      </w:r>
      <w:r>
        <w:rPr>
          <w:rFonts w:hint="eastAsia"/>
          <w:lang w:bidi="en-US"/>
        </w:rPr>
        <w:t>农户</w:t>
      </w:r>
      <w:r>
        <w:rPr>
          <w:lang w:bidi="en-US"/>
        </w:rPr>
        <w:t>+</w:t>
      </w:r>
      <w:r>
        <w:rPr>
          <w:rFonts w:hint="eastAsia"/>
          <w:lang w:bidi="en-US"/>
        </w:rPr>
        <w:t>基地</w:t>
      </w:r>
      <w:r>
        <w:rPr>
          <w:lang w:bidi="en-US"/>
        </w:rPr>
        <w:t>”</w:t>
      </w:r>
      <w:r>
        <w:rPr>
          <w:rFonts w:hint="eastAsia"/>
          <w:lang w:bidi="en-US"/>
        </w:rPr>
        <w:t>的经营模式；盘活</w:t>
      </w:r>
      <w:r>
        <w:rPr>
          <w:lang w:bidi="en-US"/>
        </w:rPr>
        <w:t>“</w:t>
      </w:r>
      <w:r>
        <w:rPr>
          <w:rFonts w:hint="eastAsia"/>
          <w:lang w:bidi="en-US"/>
        </w:rPr>
        <w:t>宅基地</w:t>
      </w:r>
      <w:r>
        <w:rPr>
          <w:lang w:bidi="en-US"/>
        </w:rPr>
        <w:t>”</w:t>
      </w:r>
      <w:r>
        <w:rPr>
          <w:rFonts w:hint="eastAsia"/>
          <w:lang w:bidi="en-US"/>
        </w:rPr>
        <w:t>闲置资产，内置金融合作社成片收储闲置房屋，与企业合作开发经营，将部分移民点整片经营，打造民宿集群。</w:t>
      </w:r>
    </w:p>
    <w:p>
      <w:pPr>
        <w:pStyle w:val="43"/>
        <w:ind w:firstLine="560"/>
        <w:rPr>
          <w:lang w:bidi="en-US"/>
        </w:rPr>
      </w:pPr>
      <w:r>
        <w:rPr>
          <w:rFonts w:hint="eastAsia"/>
          <w:lang w:bidi="en-US"/>
        </w:rPr>
        <w:t>建立由社会民众、经营企业等各方利益相关者共同组成的监督体系，形成联席会议制度，对重大问题采取协商管理。健全自然资源资产产权制度和用途管制、资源有偿使用和生态补偿等经营管理机制。</w:t>
      </w:r>
    </w:p>
    <w:p>
      <w:pPr>
        <w:widowControl/>
        <w:jc w:val="left"/>
        <w:rPr>
          <w:rFonts w:ascii="Times New Roman" w:hAnsi="Times New Roman" w:eastAsia="黑体" w:cs="Times New Roman"/>
          <w:kern w:val="44"/>
          <w:sz w:val="36"/>
          <w:szCs w:val="36"/>
        </w:rPr>
      </w:pPr>
      <w:r>
        <w:rPr>
          <w:rFonts w:ascii="Times New Roman" w:cs="Times New Roman"/>
        </w:rPr>
        <w:br w:type="page"/>
      </w:r>
    </w:p>
    <w:p>
      <w:pPr>
        <w:pStyle w:val="2"/>
        <w:rPr>
          <w:rFonts w:hAnsi="Times New Roman" w:cs="Times New Roman"/>
        </w:rPr>
      </w:pPr>
      <w:bookmarkStart w:id="109" w:name="_Toc86914874"/>
      <w:r>
        <w:rPr>
          <w:rFonts w:hAnsi="Times New Roman" w:cs="Times New Roman"/>
        </w:rPr>
        <w:t>9</w:t>
      </w:r>
      <w:r>
        <w:rPr>
          <w:rFonts w:hint="eastAsia" w:hAnsi="Times New Roman" w:cs="Times New Roman"/>
        </w:rPr>
        <w:t>　收益分配</w:t>
      </w:r>
      <w:bookmarkEnd w:id="109"/>
    </w:p>
    <w:p>
      <w:pPr>
        <w:pStyle w:val="54"/>
        <w:ind w:firstLine="560"/>
      </w:pPr>
      <w:r>
        <w:rPr>
          <w:rFonts w:hint="eastAsia"/>
        </w:rPr>
        <w:t>（</w:t>
      </w:r>
      <w:r>
        <w:t>1</w:t>
      </w:r>
      <w:r>
        <w:rPr>
          <w:rFonts w:hint="eastAsia"/>
        </w:rPr>
        <w:t>）分配原则</w:t>
      </w:r>
    </w:p>
    <w:p>
      <w:pPr>
        <w:pStyle w:val="43"/>
        <w:ind w:firstLine="560"/>
        <w:rPr>
          <w:lang w:bidi="en-US"/>
        </w:rPr>
      </w:pPr>
      <w:r>
        <w:rPr>
          <w:rFonts w:hint="eastAsia"/>
          <w:lang w:bidi="en-US"/>
        </w:rPr>
        <w:t>坚持效益决定分配的原则。年度收益分配要依据当年的经营收益情况，确定合理的分配比例。农民收入增长幅度要依据经营成果确定，要与经济发展水平相一致，防止跨空分配，严禁举债分配。</w:t>
      </w:r>
    </w:p>
    <w:p>
      <w:pPr>
        <w:pStyle w:val="43"/>
        <w:ind w:firstLine="560"/>
        <w:rPr>
          <w:lang w:bidi="en-US"/>
        </w:rPr>
      </w:pPr>
      <w:r>
        <w:rPr>
          <w:rFonts w:hint="eastAsia"/>
          <w:lang w:bidi="en-US"/>
        </w:rPr>
        <w:t>坚持发展优先的原则。妥善处理好分配与积累、扩大再生产与发展公益事业、保护村民权益的关系，提取的公积金主要用于扩大再生产和经济发展，确保分配的可持续。</w:t>
      </w:r>
    </w:p>
    <w:p>
      <w:pPr>
        <w:pStyle w:val="43"/>
        <w:ind w:firstLine="560"/>
        <w:rPr>
          <w:lang w:bidi="en-US"/>
        </w:rPr>
      </w:pPr>
      <w:r>
        <w:rPr>
          <w:rFonts w:hint="eastAsia"/>
          <w:lang w:bidi="en-US"/>
        </w:rPr>
        <w:t>坚持民主决策的原则。年度收益分配方案必须经股东会议或代表会议集体讨论通过，报镇街审批备案后方可实施。</w:t>
      </w:r>
    </w:p>
    <w:p>
      <w:pPr>
        <w:pStyle w:val="54"/>
        <w:ind w:firstLine="560"/>
      </w:pPr>
      <w:r>
        <w:rPr>
          <w:rFonts w:hint="eastAsia"/>
        </w:rPr>
        <w:t>（</w:t>
      </w:r>
      <w:r>
        <w:t>2</w:t>
      </w:r>
      <w:r>
        <w:rPr>
          <w:rFonts w:hint="eastAsia"/>
        </w:rPr>
        <w:t>）分配对象和时间</w:t>
      </w:r>
    </w:p>
    <w:p>
      <w:pPr>
        <w:pStyle w:val="43"/>
        <w:ind w:firstLine="560"/>
        <w:rPr>
          <w:lang w:bidi="en-US"/>
        </w:rPr>
      </w:pPr>
      <w:r>
        <w:rPr>
          <w:rFonts w:hint="eastAsia"/>
          <w:lang w:bidi="en-US"/>
        </w:rPr>
        <w:t>分配对象：参股集体经济（合作社、公司等）的农民。</w:t>
      </w:r>
    </w:p>
    <w:p>
      <w:pPr>
        <w:pStyle w:val="43"/>
        <w:ind w:firstLine="560"/>
        <w:rPr>
          <w:lang w:bidi="en-US"/>
        </w:rPr>
      </w:pPr>
      <w:r>
        <w:rPr>
          <w:rFonts w:hint="eastAsia"/>
          <w:lang w:bidi="en-US"/>
        </w:rPr>
        <w:t>分配时间：原则上是一个会计年度，即从</w:t>
      </w:r>
      <w:r>
        <w:rPr>
          <w:lang w:bidi="en-US"/>
        </w:rPr>
        <w:t>1</w:t>
      </w:r>
      <w:r>
        <w:rPr>
          <w:rFonts w:hint="eastAsia"/>
          <w:lang w:bidi="en-US"/>
        </w:rPr>
        <w:t>月</w:t>
      </w:r>
      <w:r>
        <w:rPr>
          <w:lang w:bidi="en-US"/>
        </w:rPr>
        <w:t>1</w:t>
      </w:r>
      <w:r>
        <w:rPr>
          <w:rFonts w:hint="eastAsia"/>
          <w:lang w:bidi="en-US"/>
        </w:rPr>
        <w:t>日起至</w:t>
      </w:r>
      <w:r>
        <w:rPr>
          <w:lang w:bidi="en-US"/>
        </w:rPr>
        <w:t>12</w:t>
      </w:r>
      <w:r>
        <w:rPr>
          <w:rFonts w:hint="eastAsia"/>
          <w:lang w:bidi="en-US"/>
        </w:rPr>
        <w:t>月</w:t>
      </w:r>
      <w:r>
        <w:rPr>
          <w:lang w:bidi="en-US"/>
        </w:rPr>
        <w:t>31</w:t>
      </w:r>
      <w:r>
        <w:rPr>
          <w:rFonts w:hint="eastAsia"/>
          <w:lang w:bidi="en-US"/>
        </w:rPr>
        <w:t>日止。</w:t>
      </w:r>
    </w:p>
    <w:p>
      <w:pPr>
        <w:pStyle w:val="54"/>
        <w:ind w:firstLine="560"/>
      </w:pPr>
      <w:r>
        <w:rPr>
          <w:rFonts w:hint="eastAsia"/>
        </w:rPr>
        <w:t>（</w:t>
      </w:r>
      <w:r>
        <w:t>3</w:t>
      </w:r>
      <w:r>
        <w:rPr>
          <w:rFonts w:hint="eastAsia"/>
        </w:rPr>
        <w:t>）分配程序</w:t>
      </w:r>
    </w:p>
    <w:p>
      <w:pPr>
        <w:pStyle w:val="43"/>
        <w:ind w:firstLine="560"/>
        <w:rPr>
          <w:lang w:bidi="en-US"/>
        </w:rPr>
      </w:pPr>
      <w:r>
        <w:rPr>
          <w:rFonts w:hint="eastAsia"/>
          <w:lang w:bidi="en-US"/>
        </w:rPr>
        <w:t>各集体经济（合作社、公司等）应成立</w:t>
      </w:r>
      <w:r>
        <w:rPr>
          <w:lang w:bidi="en-US"/>
        </w:rPr>
        <w:t>5～9</w:t>
      </w:r>
      <w:r>
        <w:rPr>
          <w:rFonts w:hint="eastAsia"/>
          <w:lang w:bidi="en-US"/>
        </w:rPr>
        <w:t>人的收益分配小组，负责年度财务的公布和拟定收益分配方案，应采取上墙或召开会议等方式，向村民股东公布当年财务收支情况、分配项目和金额。</w:t>
      </w:r>
    </w:p>
    <w:p>
      <w:pPr>
        <w:pStyle w:val="43"/>
        <w:ind w:firstLine="560"/>
        <w:rPr>
          <w:lang w:bidi="en-US"/>
        </w:rPr>
      </w:pPr>
      <w:r>
        <w:rPr>
          <w:rFonts w:hint="eastAsia"/>
          <w:lang w:bidi="en-US"/>
        </w:rPr>
        <w:t>分配小组应当根据分配政策拟定本集体的分配方案，坚持公平、公开、公正、合理的原则，制定分配方案。分配方案先通过村民股东充分讨论，再提交收益分配小组会议表决通过后报镇街审批。分配小组依据镇街审核批准的方案，按照相关的分配政策，拟定分配明细，计算分配金额，再张榜公示一周无异议后进行分配。</w:t>
      </w:r>
      <w:bookmarkStart w:id="110" w:name="_Toc61767727"/>
    </w:p>
    <w:p>
      <w:pPr>
        <w:widowControl/>
        <w:jc w:val="left"/>
        <w:rPr>
          <w:rFonts w:ascii="Times New Roman" w:hAnsi="Times New Roman" w:cs="Times New Roman"/>
          <w:color w:val="000000"/>
          <w:kern w:val="0"/>
          <w:szCs w:val="24"/>
          <w:lang w:bidi="en-US"/>
        </w:rPr>
      </w:pPr>
      <w:r>
        <w:rPr>
          <w:rFonts w:ascii="Times New Roman" w:cs="Times New Roman"/>
          <w:color w:val="000000"/>
          <w:kern w:val="0"/>
          <w:szCs w:val="24"/>
          <w:lang w:bidi="en-US"/>
        </w:rPr>
        <w:br w:type="page"/>
      </w:r>
    </w:p>
    <w:p>
      <w:pPr>
        <w:pStyle w:val="2"/>
        <w:rPr>
          <w:rFonts w:hAnsi="Times New Roman" w:cs="Times New Roman"/>
        </w:rPr>
      </w:pPr>
      <w:bookmarkStart w:id="111" w:name="_Toc86914875"/>
      <w:r>
        <w:rPr>
          <w:rFonts w:hint="eastAsia" w:hAnsi="Times New Roman" w:cs="Times New Roman"/>
        </w:rPr>
        <w:t>附　图：</w:t>
      </w:r>
      <w:bookmarkEnd w:id="111"/>
    </w:p>
    <w:p>
      <w:pPr>
        <w:pStyle w:val="43"/>
        <w:ind w:firstLine="560"/>
        <w:rPr>
          <w:lang w:bidi="en-US"/>
        </w:rPr>
      </w:pPr>
      <w:r>
        <w:rPr>
          <w:rFonts w:hint="eastAsia"/>
          <w:lang w:bidi="en-US"/>
        </w:rPr>
        <w:t>附图1　元谋</w:t>
      </w:r>
      <w:r>
        <w:rPr>
          <w:lang w:bidi="en-US"/>
        </w:rPr>
        <w:t>县</w:t>
      </w:r>
      <w:r>
        <w:rPr>
          <w:rFonts w:hint="eastAsia"/>
          <w:lang w:bidi="en-US"/>
        </w:rPr>
        <w:t>2020年末大中型水库移民人口分布图</w:t>
      </w:r>
    </w:p>
    <w:p>
      <w:pPr>
        <w:pStyle w:val="43"/>
        <w:ind w:firstLine="560"/>
        <w:rPr>
          <w:lang w:bidi="en-US"/>
        </w:rPr>
      </w:pPr>
      <w:r>
        <w:rPr>
          <w:rFonts w:hint="eastAsia"/>
          <w:lang w:bidi="en-US"/>
        </w:rPr>
        <w:t>附图2　元谋</w:t>
      </w:r>
      <w:r>
        <w:rPr>
          <w:lang w:bidi="en-US"/>
        </w:rPr>
        <w:t>县</w:t>
      </w:r>
      <w:r>
        <w:rPr>
          <w:rFonts w:hint="eastAsia"/>
          <w:lang w:bidi="en-US"/>
        </w:rPr>
        <w:t>“十四五”美丽家园规划项目分布图</w:t>
      </w:r>
    </w:p>
    <w:p>
      <w:pPr>
        <w:pStyle w:val="43"/>
        <w:ind w:firstLine="560"/>
        <w:rPr>
          <w:lang w:bidi="en-US"/>
        </w:rPr>
      </w:pPr>
      <w:r>
        <w:rPr>
          <w:rFonts w:hint="eastAsia"/>
          <w:lang w:bidi="en-US"/>
        </w:rPr>
        <w:t>附图3　元谋</w:t>
      </w:r>
      <w:r>
        <w:rPr>
          <w:lang w:bidi="en-US"/>
        </w:rPr>
        <w:t>县</w:t>
      </w:r>
      <w:r>
        <w:rPr>
          <w:rFonts w:hint="eastAsia"/>
          <w:lang w:bidi="en-US"/>
        </w:rPr>
        <w:t>“十四五”产业转型升级项目分布图</w:t>
      </w:r>
    </w:p>
    <w:p>
      <w:pPr>
        <w:pStyle w:val="2"/>
        <w:rPr>
          <w:rFonts w:hAnsi="Times New Roman" w:cs="Times New Roman"/>
        </w:rPr>
      </w:pPr>
      <w:bookmarkStart w:id="112" w:name="_Toc86914876"/>
      <w:r>
        <w:rPr>
          <w:rFonts w:hint="eastAsia" w:hAnsi="Times New Roman" w:cs="Times New Roman"/>
        </w:rPr>
        <w:t>附　表：</w:t>
      </w:r>
      <w:bookmarkEnd w:id="110"/>
      <w:bookmarkEnd w:id="112"/>
    </w:p>
    <w:p>
      <w:pPr>
        <w:pStyle w:val="43"/>
        <w:ind w:firstLine="560"/>
        <w:rPr>
          <w:lang w:bidi="en-US"/>
        </w:rPr>
      </w:pPr>
      <w:r>
        <w:rPr>
          <w:rFonts w:hint="eastAsia"/>
          <w:lang w:bidi="en-US"/>
        </w:rPr>
        <w:t>表1　元谋</w:t>
      </w:r>
      <w:r>
        <w:rPr>
          <w:lang w:bidi="en-US"/>
        </w:rPr>
        <w:t>县“十四五”在建大中型水利水电工程项目移民安置实施汇总表</w:t>
      </w:r>
    </w:p>
    <w:p>
      <w:pPr>
        <w:pStyle w:val="43"/>
        <w:ind w:firstLine="560"/>
        <w:rPr>
          <w:lang w:bidi="en-US"/>
        </w:rPr>
      </w:pPr>
      <w:r>
        <w:rPr>
          <w:rFonts w:hint="eastAsia"/>
          <w:lang w:bidi="en-US"/>
        </w:rPr>
        <w:t>表2　元谋</w:t>
      </w:r>
      <w:r>
        <w:rPr>
          <w:lang w:bidi="en-US"/>
        </w:rPr>
        <w:t>县“十四五”拟建大中型水利水电工程项目移民安置实施汇总表</w:t>
      </w:r>
    </w:p>
    <w:p>
      <w:pPr>
        <w:pStyle w:val="43"/>
        <w:ind w:firstLine="560"/>
        <w:rPr>
          <w:lang w:bidi="en-US"/>
        </w:rPr>
      </w:pPr>
      <w:r>
        <w:rPr>
          <w:rFonts w:hint="eastAsia"/>
          <w:lang w:bidi="en-US"/>
        </w:rPr>
        <w:t>表3　元谋</w:t>
      </w:r>
      <w:r>
        <w:rPr>
          <w:lang w:bidi="en-US"/>
        </w:rPr>
        <w:t>县“十四五”大中型水利水电工程项目移民搬迁安置</w:t>
      </w:r>
      <w:r>
        <w:rPr>
          <w:rFonts w:hint="eastAsia"/>
          <w:lang w:bidi="en-US"/>
        </w:rPr>
        <w:t>问题</w:t>
      </w:r>
      <w:r>
        <w:rPr>
          <w:lang w:bidi="en-US"/>
        </w:rPr>
        <w:t>汇总表</w:t>
      </w:r>
    </w:p>
    <w:p>
      <w:pPr>
        <w:pStyle w:val="43"/>
        <w:ind w:firstLine="560"/>
        <w:rPr>
          <w:lang w:bidi="en-US"/>
        </w:rPr>
      </w:pPr>
      <w:r>
        <w:rPr>
          <w:rFonts w:hint="eastAsia"/>
          <w:lang w:bidi="en-US"/>
        </w:rPr>
        <w:t>表1-1　元谋县</w:t>
      </w:r>
      <w:r>
        <w:rPr>
          <w:lang w:bidi="en-US"/>
        </w:rPr>
        <w:t>2020年经济社会基本情况统计表</w:t>
      </w:r>
    </w:p>
    <w:p>
      <w:pPr>
        <w:pStyle w:val="43"/>
        <w:ind w:firstLine="560"/>
        <w:rPr>
          <w:lang w:bidi="en-US"/>
        </w:rPr>
      </w:pPr>
      <w:r>
        <w:rPr>
          <w:rFonts w:hint="eastAsia"/>
          <w:lang w:bidi="en-US"/>
        </w:rPr>
        <w:t>表1-2　元谋县大中型水库建设基本情况表</w:t>
      </w:r>
    </w:p>
    <w:p>
      <w:pPr>
        <w:pStyle w:val="43"/>
        <w:ind w:firstLine="560"/>
        <w:rPr>
          <w:lang w:bidi="en-US"/>
        </w:rPr>
      </w:pPr>
      <w:r>
        <w:rPr>
          <w:rFonts w:hint="eastAsia"/>
          <w:lang w:bidi="en-US"/>
        </w:rPr>
        <w:t>表1-3　元谋县大中型水库移民后期扶持“十三五”规划实施情况表</w:t>
      </w:r>
    </w:p>
    <w:p>
      <w:pPr>
        <w:pStyle w:val="43"/>
        <w:ind w:firstLine="560"/>
        <w:rPr>
          <w:lang w:bidi="en-US"/>
        </w:rPr>
      </w:pPr>
      <w:r>
        <w:rPr>
          <w:rFonts w:hint="eastAsia"/>
          <w:lang w:bidi="en-US"/>
        </w:rPr>
        <w:t>表1-4　元谋县</w:t>
      </w:r>
      <w:r>
        <w:rPr>
          <w:lang w:bidi="en-US"/>
        </w:rPr>
        <w:t>2020年末大中型水库移民分布表</w:t>
      </w:r>
    </w:p>
    <w:p>
      <w:pPr>
        <w:pStyle w:val="43"/>
        <w:ind w:firstLine="560"/>
        <w:rPr>
          <w:lang w:bidi="en-US"/>
        </w:rPr>
      </w:pPr>
      <w:r>
        <w:rPr>
          <w:rFonts w:hint="eastAsia"/>
          <w:lang w:bidi="en-US"/>
        </w:rPr>
        <w:t>表1-5　元谋县</w:t>
      </w:r>
      <w:r>
        <w:rPr>
          <w:lang w:bidi="en-US"/>
        </w:rPr>
        <w:t>2020年末大中型水库移民经济社会状况汇总表</w:t>
      </w:r>
    </w:p>
    <w:p>
      <w:pPr>
        <w:pStyle w:val="43"/>
        <w:ind w:firstLine="560"/>
        <w:rPr>
          <w:lang w:bidi="en-US"/>
        </w:rPr>
      </w:pPr>
      <w:r>
        <w:rPr>
          <w:rFonts w:hint="eastAsia"/>
          <w:lang w:bidi="en-US"/>
        </w:rPr>
        <w:t>表1-6　元谋县</w:t>
      </w:r>
      <w:r>
        <w:rPr>
          <w:lang w:bidi="en-US"/>
        </w:rPr>
        <w:t>2020年末大中型水库移民存在的突出问题汇总表</w:t>
      </w:r>
    </w:p>
    <w:p>
      <w:pPr>
        <w:pStyle w:val="43"/>
        <w:ind w:firstLine="560"/>
        <w:rPr>
          <w:lang w:bidi="en-US"/>
        </w:rPr>
      </w:pPr>
      <w:r>
        <w:rPr>
          <w:rFonts w:hint="eastAsia"/>
          <w:lang w:bidi="en-US"/>
        </w:rPr>
        <w:t>表2-1　元谋县大中型水库移民后期扶持“十四五”规划范围表</w:t>
      </w:r>
    </w:p>
    <w:p>
      <w:pPr>
        <w:pStyle w:val="43"/>
        <w:ind w:firstLine="560"/>
        <w:rPr>
          <w:lang w:bidi="en-US"/>
        </w:rPr>
      </w:pPr>
      <w:r>
        <w:rPr>
          <w:rFonts w:hint="eastAsia"/>
          <w:lang w:bidi="en-US"/>
        </w:rPr>
        <w:t>表2-2　元谋县大中型水库移民后期扶持“十四五”规划主要目标指数表</w:t>
      </w:r>
    </w:p>
    <w:p>
      <w:pPr>
        <w:pStyle w:val="43"/>
        <w:ind w:firstLine="560"/>
        <w:rPr>
          <w:lang w:bidi="en-US"/>
        </w:rPr>
      </w:pPr>
      <w:r>
        <w:rPr>
          <w:rFonts w:hint="eastAsia"/>
          <w:lang w:bidi="en-US"/>
        </w:rPr>
        <w:t>表4-1　元谋县大中型水库移民“十四五”资金直接发放方式意愿调查汇总表</w:t>
      </w:r>
    </w:p>
    <w:p>
      <w:pPr>
        <w:pStyle w:val="43"/>
        <w:ind w:firstLine="560"/>
        <w:rPr>
          <w:lang w:bidi="en-US"/>
        </w:rPr>
      </w:pPr>
      <w:r>
        <w:rPr>
          <w:rFonts w:hint="eastAsia"/>
          <w:lang w:bidi="en-US"/>
        </w:rPr>
        <w:t>表4-2　元谋县大中型水库移民“十四五”资金直接发放方式确定结果汇总表</w:t>
      </w:r>
    </w:p>
    <w:p>
      <w:pPr>
        <w:pStyle w:val="43"/>
        <w:ind w:firstLine="560"/>
        <w:rPr>
          <w:lang w:bidi="en-US"/>
        </w:rPr>
      </w:pPr>
      <w:r>
        <w:rPr>
          <w:rFonts w:hint="eastAsia"/>
          <w:lang w:bidi="en-US"/>
        </w:rPr>
        <w:t>表4-3　元谋县大中型水库移民“十四五”资金直接发放规划汇总表</w:t>
      </w:r>
    </w:p>
    <w:p>
      <w:pPr>
        <w:pStyle w:val="43"/>
        <w:ind w:firstLine="560"/>
        <w:rPr>
          <w:lang w:bidi="en-US"/>
        </w:rPr>
      </w:pPr>
      <w:r>
        <w:rPr>
          <w:rFonts w:hint="eastAsia"/>
          <w:lang w:bidi="en-US"/>
        </w:rPr>
        <w:t>表5-1　元谋县大中型水库移民“十四五”美丽家园建设扶持方向及内容规划表</w:t>
      </w:r>
    </w:p>
    <w:p>
      <w:pPr>
        <w:pStyle w:val="43"/>
        <w:ind w:firstLine="560"/>
        <w:rPr>
          <w:lang w:bidi="en-US"/>
        </w:rPr>
      </w:pPr>
      <w:r>
        <w:rPr>
          <w:rFonts w:hint="eastAsia"/>
          <w:lang w:bidi="en-US"/>
        </w:rPr>
        <w:t>表5-2　元谋县大中型水库移民“十四五”美丽家园建设重大项目规划表</w:t>
      </w:r>
    </w:p>
    <w:p>
      <w:pPr>
        <w:pStyle w:val="43"/>
        <w:ind w:firstLine="560"/>
        <w:rPr>
          <w:lang w:bidi="en-US"/>
        </w:rPr>
      </w:pPr>
      <w:r>
        <w:rPr>
          <w:rFonts w:hint="eastAsia"/>
          <w:lang w:bidi="en-US"/>
        </w:rPr>
        <w:t>表5-3　元谋县大中型水库移民“十四五”美丽家园建设拟使用后期扶持资金估算表</w:t>
      </w:r>
    </w:p>
    <w:p>
      <w:pPr>
        <w:pStyle w:val="43"/>
        <w:ind w:firstLine="560"/>
        <w:rPr>
          <w:lang w:bidi="en-US"/>
        </w:rPr>
      </w:pPr>
      <w:r>
        <w:rPr>
          <w:rFonts w:hint="eastAsia"/>
          <w:lang w:bidi="en-US"/>
        </w:rPr>
        <w:t>表6-1　元谋县大中型水库移民“十四五”产业转型升级扶持方向及内容规划表</w:t>
      </w:r>
    </w:p>
    <w:p>
      <w:pPr>
        <w:pStyle w:val="43"/>
        <w:ind w:firstLine="560"/>
        <w:rPr>
          <w:lang w:bidi="en-US"/>
        </w:rPr>
      </w:pPr>
      <w:r>
        <w:rPr>
          <w:rFonts w:hint="eastAsia"/>
          <w:lang w:bidi="en-US"/>
        </w:rPr>
        <w:t>表6-2　元谋县大中型水库移民“十四五”产业转型升级重大项目规划表</w:t>
      </w:r>
    </w:p>
    <w:p>
      <w:pPr>
        <w:pStyle w:val="43"/>
        <w:ind w:firstLine="560"/>
        <w:rPr>
          <w:lang w:bidi="en-US"/>
        </w:rPr>
      </w:pPr>
      <w:r>
        <w:rPr>
          <w:rFonts w:hint="eastAsia"/>
          <w:lang w:bidi="en-US"/>
        </w:rPr>
        <w:t>表6-3　元谋县大中型水库移民“十四五”产业转型升级拟使用后期扶持资金估算表</w:t>
      </w:r>
    </w:p>
    <w:p>
      <w:pPr>
        <w:pStyle w:val="43"/>
        <w:ind w:firstLine="560"/>
        <w:rPr>
          <w:lang w:bidi="en-US"/>
        </w:rPr>
      </w:pPr>
      <w:r>
        <w:rPr>
          <w:rFonts w:hint="eastAsia"/>
          <w:lang w:bidi="en-US"/>
        </w:rPr>
        <w:t>表7-1　元谋县大中型水库移民“十四五”创业就业能力建设和就业扶持规划表</w:t>
      </w:r>
    </w:p>
    <w:p>
      <w:pPr>
        <w:pStyle w:val="43"/>
        <w:ind w:firstLine="560"/>
        <w:rPr>
          <w:lang w:bidi="en-US"/>
        </w:rPr>
      </w:pPr>
      <w:r>
        <w:rPr>
          <w:rFonts w:hint="eastAsia"/>
          <w:lang w:bidi="en-US"/>
        </w:rPr>
        <w:t>表7-2　元谋县大中型水库移民“十四五”创业就业能力建设和就业扶持拟使用后期扶持资金估算表</w:t>
      </w:r>
    </w:p>
    <w:p>
      <w:pPr>
        <w:pStyle w:val="43"/>
        <w:ind w:firstLine="560"/>
        <w:rPr>
          <w:lang w:bidi="en-US"/>
        </w:rPr>
      </w:pPr>
      <w:r>
        <w:rPr>
          <w:rFonts w:hint="eastAsia"/>
          <w:lang w:bidi="en-US"/>
        </w:rPr>
        <w:t>表8-1　元谋县“十四五”后期扶持资金汇总及年度计划表</w:t>
      </w:r>
    </w:p>
    <w:p>
      <w:pPr>
        <w:pStyle w:val="43"/>
        <w:ind w:firstLine="560"/>
        <w:rPr>
          <w:lang w:bidi="en-US"/>
        </w:rPr>
      </w:pPr>
      <w:r>
        <w:rPr>
          <w:rFonts w:hint="eastAsia"/>
          <w:lang w:bidi="en-US"/>
        </w:rPr>
        <w:t>表9-1　元谋县“十四五”大中型水库库区基金项目规划。</w:t>
      </w:r>
    </w:p>
    <w:sectPr>
      <w:headerReference r:id="rId16" w:type="default"/>
      <w:headerReference r:id="rId17" w:type="even"/>
      <w:pgSz w:w="11907" w:h="16839"/>
      <w:pgMar w:top="1616" w:right="1418" w:bottom="1616" w:left="1418" w:header="907" w:footer="130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D3529D9-38EA-4223-8906-3656225EE748}"/>
  </w:font>
  <w:font w:name="Arial">
    <w:panose1 w:val="020B0604020202020204"/>
    <w:charset w:val="01"/>
    <w:family w:val="swiss"/>
    <w:pitch w:val="default"/>
    <w:sig w:usb0="E0002AFF" w:usb1="C0007843" w:usb2="00000009" w:usb3="00000000" w:csb0="400001FF" w:csb1="FFFF0000"/>
    <w:embedRegular r:id="rId2" w:fontKey="{66947363-AD78-42D3-AD1A-4467CAD0CADE}"/>
  </w:font>
  <w:font w:name="黑体">
    <w:panose1 w:val="02010600030101010101"/>
    <w:charset w:val="86"/>
    <w:family w:val="auto"/>
    <w:pitch w:val="default"/>
    <w:sig w:usb0="800002BF" w:usb1="38CF7CFA" w:usb2="00000016" w:usb3="00000000" w:csb0="00040001" w:csb1="00000000"/>
    <w:embedRegular r:id="rId3" w:fontKey="{6B714C9F-6D55-402A-A53F-437899054430}"/>
  </w:font>
  <w:font w:name="Courier New">
    <w:panose1 w:val="02070309020205020404"/>
    <w:charset w:val="01"/>
    <w:family w:val="modern"/>
    <w:pitch w:val="default"/>
    <w:sig w:usb0="E0002AFF" w:usb1="C0007843" w:usb2="00000009" w:usb3="00000000" w:csb0="400001FF" w:csb1="FFFF0000"/>
    <w:embedRegular r:id="rId4" w:fontKey="{CAB35041-BC03-4D3A-B212-7D705777E136}"/>
  </w:font>
  <w:font w:name="Symbol">
    <w:panose1 w:val="05050102010706020507"/>
    <w:charset w:val="02"/>
    <w:family w:val="roman"/>
    <w:pitch w:val="default"/>
    <w:sig w:usb0="00000000" w:usb1="00000000" w:usb2="00000000" w:usb3="00000000" w:csb0="80000000" w:csb1="00000000"/>
    <w:embedRegular r:id="rId5" w:fontKey="{82958C59-EDF6-4B59-8D9E-4BCA7107F5F9}"/>
  </w:font>
  <w:font w:name="Calibri">
    <w:panose1 w:val="020F0502020204030204"/>
    <w:charset w:val="00"/>
    <w:family w:val="swiss"/>
    <w:pitch w:val="default"/>
    <w:sig w:usb0="E10002FF" w:usb1="4000ACFF" w:usb2="00000009" w:usb3="00000000" w:csb0="2000019F" w:csb1="00000000"/>
    <w:embedRegular r:id="rId6" w:fontKey="{7D82ED41-5D78-40FC-8489-72F6E2BA34D0}"/>
  </w:font>
  <w:font w:name="仿宋_GB2312">
    <w:panose1 w:val="02010609030101010101"/>
    <w:charset w:val="86"/>
    <w:family w:val="modern"/>
    <w:pitch w:val="default"/>
    <w:sig w:usb0="00000001" w:usb1="080E0000" w:usb2="00000000" w:usb3="00000000" w:csb0="00040000" w:csb1="00000000"/>
    <w:embedRegular r:id="rId7" w:fontKey="{A726EF5E-B11B-4C14-8D9F-0BF8DC28E8D5}"/>
  </w:font>
  <w:font w:name="等线">
    <w:altName w:val="Arial Unicode MS"/>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魏碑_GBK">
    <w:altName w:val="宋体"/>
    <w:panose1 w:val="02000000000000000000"/>
    <w:charset w:val="86"/>
    <w:family w:val="script"/>
    <w:pitch w:val="default"/>
    <w:sig w:usb0="00000000" w:usb1="00000000" w:usb2="00000000" w:usb3="00000000" w:csb0="00040000" w:csb1="00000000"/>
    <w:embedRegular r:id="rId8" w:fontKey="{08ABAC16-CA48-425F-A4F5-E17C5C6B2C8C}"/>
  </w:font>
  <w:font w:name="方正小标宋_GBK">
    <w:panose1 w:val="03000509000000000000"/>
    <w:charset w:val="86"/>
    <w:family w:val="script"/>
    <w:pitch w:val="default"/>
    <w:sig w:usb0="00000001" w:usb1="080E0000" w:usb2="00000000" w:usb3="00000000" w:csb0="00040000" w:csb1="00000000"/>
    <w:embedRegular r:id="rId9" w:fontKey="{BC91AA75-661C-448A-AFF5-FABA6A1E3840}"/>
  </w:font>
  <w:font w:name="等线 Light">
    <w:altName w:val="宋体"/>
    <w:panose1 w:val="02010600030101010101"/>
    <w:charset w:val="86"/>
    <w:family w:val="auto"/>
    <w:pitch w:val="default"/>
    <w:sig w:usb0="00000000" w:usb1="00000000" w:usb2="00000016" w:usb3="00000000" w:csb0="0004000F" w:csb1="00000000"/>
  </w:font>
  <w:font w:name="楷体_GB2312">
    <w:panose1 w:val="02010609030101010101"/>
    <w:charset w:val="86"/>
    <w:family w:val="modern"/>
    <w:pitch w:val="default"/>
    <w:sig w:usb0="00000001" w:usb1="080E0000" w:usb2="00000000" w:usb3="00000000" w:csb0="00040000" w:csb1="00000000"/>
    <w:embedRegular r:id="rId10" w:fontKey="{43C7D2B9-FE25-45EA-A215-7C17140D43DE}"/>
  </w:font>
  <w:font w:name="华文新魏">
    <w:panose1 w:val="02010800040101010101"/>
    <w:charset w:val="86"/>
    <w:family w:val="auto"/>
    <w:pitch w:val="default"/>
    <w:sig w:usb0="00000001" w:usb1="080F0000" w:usb2="00000000" w:usb3="00000000" w:csb0="00040000" w:csb1="00000000"/>
    <w:embedRegular r:id="rId11" w:fontKey="{F10EE4ED-5FC5-445D-9994-455F6F7B332F}"/>
  </w:font>
  <w:font w:name="华文行楷">
    <w:panose1 w:val="02010800040101010101"/>
    <w:charset w:val="86"/>
    <w:family w:val="auto"/>
    <w:pitch w:val="default"/>
    <w:sig w:usb0="00000001" w:usb1="080F0000" w:usb2="00000000" w:usb3="00000000" w:csb0="00040000" w:csb1="00000000"/>
    <w:embedRegular r:id="rId12" w:fontKey="{A8BA354E-E048-4ADA-8D1F-D45B682E91A4}"/>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embedRegular r:id="rId13" w:fontKey="{8996591D-C1BC-4A6F-9174-E702A82DBA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III</w:t>
    </w:r>
    <w:r>
      <w:rPr>
        <w:rFonts w:ascii="Times New Roman" w:hAnsi="Times New Roman" w:cs="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IV</w:t>
    </w:r>
    <w:r>
      <w:rPr>
        <w:rFonts w:ascii="Times New Roman" w:hAnsi="Times New Roman" w:cs="Times New Roma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napToGrid/>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101</w:t>
    </w:r>
    <w:r>
      <w:rPr>
        <w:rFonts w:ascii="Times New Roman" w:hAnsi="Times New Roman" w:cs="Times New Roma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napToGrid/>
      <w:jc w:val="cente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102</w:t>
    </w:r>
    <w:r>
      <w:rPr>
        <w:rFonts w:ascii="Times New Roman" w:hAnsi="Times New Roman" w:cs="Times New Roma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12" w:space="1"/>
      </w:pBdr>
      <w:spacing w:line="560" w:lineRule="exact"/>
      <w:ind w:left="644" w:leftChars="230"/>
      <w:jc w:val="left"/>
    </w:pPr>
    <w:r>
      <w:drawing>
        <wp:anchor distT="0" distB="0" distL="114300" distR="114300" simplePos="0" relativeHeight="251664384" behindDoc="0" locked="0" layoutInCell="1" allowOverlap="1">
          <wp:simplePos x="0" y="0"/>
          <wp:positionH relativeFrom="margin">
            <wp:align>left</wp:align>
          </wp:positionH>
          <wp:positionV relativeFrom="paragraph">
            <wp:posOffset>71755</wp:posOffset>
          </wp:positionV>
          <wp:extent cx="361315" cy="361950"/>
          <wp:effectExtent l="0" t="0" r="0" b="0"/>
          <wp:wrapNone/>
          <wp:docPr id="14" name="图片 14" descr="说明: 1-2企业标志墨稿（用于黑白印刷）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说明: 1-2企业标志墨稿（用于黑白印刷） 拷贝.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61315" cy="361950"/>
                  </a:xfrm>
                  <a:prstGeom prst="rect">
                    <a:avLst/>
                  </a:prstGeom>
                  <a:noFill/>
                  <a:ln>
                    <a:noFill/>
                  </a:ln>
                </pic:spPr>
              </pic:pic>
            </a:graphicData>
          </a:graphic>
        </wp:anchor>
      </w:drawing>
    </w:r>
    <w:r>
      <w:rPr>
        <w:rFonts w:ascii="Times New Roman" w:hAnsi="Times New Roman" w:eastAsia="宋体" w:cs="Times New Roman"/>
        <w:sz w:val="13"/>
        <w:szCs w:val="13"/>
      </w:rPr>
      <w:t>楚雄州元谋县大中型水利水电工程移民搬迁安置和后期扶持“十四五”规划报告（2021～2025）　</w:t>
    </w:r>
    <w:r>
      <w:rPr>
        <w:rFonts w:hint="eastAsia" w:ascii="Times New Roman" w:hAnsi="Times New Roman" w:eastAsia="宋体" w:cs="Times New Roman"/>
        <w:sz w:val="13"/>
        <w:szCs w:val="13"/>
      </w:rPr>
      <w:t>　　　　　　</w:t>
    </w:r>
    <w:r>
      <w:rPr>
        <w:rFonts w:ascii="Times New Roman" w:hAnsi="Times New Roman" w:eastAsia="宋体" w:cs="Times New Roman"/>
        <w:sz w:val="13"/>
        <w:szCs w:val="13"/>
      </w:rPr>
      <w:t>　　　　　　　</w:t>
    </w:r>
    <w:r>
      <w:rPr>
        <w:rFonts w:hint="eastAsia" w:ascii="Times New Roman" w:hAnsi="Times New Roman" w:eastAsia="宋体" w:cs="Times New Roman"/>
        <w:sz w:val="13"/>
        <w:szCs w:val="13"/>
      </w:rPr>
      <w:t>　　第三篇　保障措施</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12" w:space="1"/>
      </w:pBdr>
      <w:spacing w:line="560" w:lineRule="exact"/>
      <w:ind w:right="644" w:rightChars="230"/>
      <w:rPr>
        <w:rFonts w:ascii="Times New Roman" w:hAnsi="Times New Roman" w:eastAsia="宋体" w:cs="Times New Roman"/>
        <w:sz w:val="13"/>
        <w:szCs w:val="13"/>
      </w:rPr>
    </w:pPr>
    <w:r>
      <w:rPr>
        <w:rFonts w:ascii="Times New Roman" w:hAnsi="Times New Roman" w:eastAsia="宋体" w:cs="Times New Roman"/>
        <w:sz w:val="13"/>
        <w:szCs w:val="13"/>
      </w:rPr>
      <w:drawing>
        <wp:anchor distT="0" distB="0" distL="114300" distR="114300" simplePos="0" relativeHeight="251659264" behindDoc="0" locked="0" layoutInCell="1" allowOverlap="1">
          <wp:simplePos x="0" y="0"/>
          <wp:positionH relativeFrom="margin">
            <wp:align>right</wp:align>
          </wp:positionH>
          <wp:positionV relativeFrom="paragraph">
            <wp:posOffset>71755</wp:posOffset>
          </wp:positionV>
          <wp:extent cx="361315" cy="361950"/>
          <wp:effectExtent l="0" t="0" r="0" b="0"/>
          <wp:wrapNone/>
          <wp:docPr id="38" name="图片 38" descr="说明: 1-2企业标志墨稿（用于黑白印刷）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说明: 1-2企业标志墨稿（用于黑白印刷） 拷贝.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61315" cy="361950"/>
                  </a:xfrm>
                  <a:prstGeom prst="rect">
                    <a:avLst/>
                  </a:prstGeom>
                  <a:noFill/>
                  <a:ln>
                    <a:noFill/>
                  </a:ln>
                </pic:spPr>
              </pic:pic>
            </a:graphicData>
          </a:graphic>
        </wp:anchor>
      </w:drawing>
    </w:r>
    <w:r>
      <w:rPr>
        <w:rFonts w:ascii="Times New Roman" w:hAnsi="Times New Roman" w:eastAsia="宋体" w:cs="Times New Roman"/>
        <w:sz w:val="13"/>
        <w:szCs w:val="13"/>
      </w:rPr>
      <w:t>楚雄州元谋县大中型水利水电工程移民搬迁安置和后期扶持“十四五”规划报告（2021～2025）　</w:t>
    </w:r>
    <w:r>
      <w:rPr>
        <w:rFonts w:hint="eastAsia" w:ascii="Times New Roman" w:hAnsi="Times New Roman" w:eastAsia="宋体" w:cs="Times New Roman"/>
        <w:sz w:val="13"/>
        <w:szCs w:val="13"/>
      </w:rPr>
      <w:t>　　　　　　</w:t>
    </w:r>
    <w:r>
      <w:rPr>
        <w:rFonts w:ascii="Times New Roman" w:hAnsi="Times New Roman" w:eastAsia="宋体" w:cs="Times New Roman"/>
        <w:sz w:val="13"/>
        <w:szCs w:val="13"/>
      </w:rPr>
      <w:t>　　　　　　　</w:t>
    </w:r>
    <w:r>
      <w:rPr>
        <w:rFonts w:hint="eastAsia" w:ascii="Times New Roman" w:hAnsi="Times New Roman" w:eastAsia="宋体" w:cs="Times New Roman"/>
        <w:sz w:val="13"/>
        <w:szCs w:val="13"/>
      </w:rPr>
      <w:t>第一篇　搬迁安置规划</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12" w:space="1"/>
      </w:pBdr>
      <w:spacing w:line="560" w:lineRule="exact"/>
      <w:ind w:left="644" w:leftChars="230"/>
      <w:jc w:val="left"/>
    </w:pPr>
    <w:r>
      <w:drawing>
        <wp:anchor distT="0" distB="0" distL="114300" distR="114300" simplePos="0" relativeHeight="251660288" behindDoc="0" locked="0" layoutInCell="1" allowOverlap="1">
          <wp:simplePos x="0" y="0"/>
          <wp:positionH relativeFrom="margin">
            <wp:align>left</wp:align>
          </wp:positionH>
          <wp:positionV relativeFrom="paragraph">
            <wp:posOffset>71755</wp:posOffset>
          </wp:positionV>
          <wp:extent cx="361315" cy="361950"/>
          <wp:effectExtent l="0" t="0" r="0" b="0"/>
          <wp:wrapNone/>
          <wp:docPr id="34" name="图片 34" descr="说明: 1-2企业标志墨稿（用于黑白印刷）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说明: 1-2企业标志墨稿（用于黑白印刷） 拷贝.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61315" cy="361950"/>
                  </a:xfrm>
                  <a:prstGeom prst="rect">
                    <a:avLst/>
                  </a:prstGeom>
                  <a:noFill/>
                  <a:ln>
                    <a:noFill/>
                  </a:ln>
                </pic:spPr>
              </pic:pic>
            </a:graphicData>
          </a:graphic>
        </wp:anchor>
      </w:drawing>
    </w:r>
    <w:r>
      <w:rPr>
        <w:rFonts w:ascii="Times New Roman" w:hAnsi="Times New Roman" w:eastAsia="宋体" w:cs="Times New Roman"/>
        <w:sz w:val="13"/>
        <w:szCs w:val="13"/>
      </w:rPr>
      <w:t>楚雄州元谋县大中型水利水电工程移民搬迁安置和后期扶持“十四五”规划报告（2021～2025）　　　　　　</w:t>
    </w:r>
    <w:r>
      <w:rPr>
        <w:rFonts w:hint="eastAsia" w:ascii="Times New Roman" w:hAnsi="Times New Roman" w:eastAsia="宋体" w:cs="Times New Roman"/>
        <w:sz w:val="13"/>
        <w:szCs w:val="13"/>
      </w:rPr>
      <w:t>　　　　　　　　</w:t>
    </w:r>
    <w:r>
      <w:rPr>
        <w:rFonts w:ascii="Times New Roman" w:hAnsi="Times New Roman" w:eastAsia="宋体" w:cs="Times New Roman"/>
        <w:sz w:val="13"/>
        <w:szCs w:val="13"/>
      </w:rPr>
      <w:t>　　　　　　　前　言</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12" w:space="1"/>
      </w:pBdr>
      <w:spacing w:line="560" w:lineRule="exact"/>
      <w:ind w:left="644" w:leftChars="230"/>
      <w:jc w:val="left"/>
    </w:pPr>
    <w:r>
      <w:drawing>
        <wp:anchor distT="0" distB="0" distL="114300" distR="114300" simplePos="0" relativeHeight="251661312" behindDoc="0" locked="0" layoutInCell="1" allowOverlap="1">
          <wp:simplePos x="0" y="0"/>
          <wp:positionH relativeFrom="margin">
            <wp:align>left</wp:align>
          </wp:positionH>
          <wp:positionV relativeFrom="paragraph">
            <wp:posOffset>71755</wp:posOffset>
          </wp:positionV>
          <wp:extent cx="361315" cy="361950"/>
          <wp:effectExtent l="0" t="0" r="0" b="0"/>
          <wp:wrapNone/>
          <wp:docPr id="11" name="图片 11" descr="说明: 1-2企业标志墨稿（用于黑白印刷）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说明: 1-2企业标志墨稿（用于黑白印刷） 拷贝.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61315" cy="361950"/>
                  </a:xfrm>
                  <a:prstGeom prst="rect">
                    <a:avLst/>
                  </a:prstGeom>
                  <a:noFill/>
                  <a:ln>
                    <a:noFill/>
                  </a:ln>
                </pic:spPr>
              </pic:pic>
            </a:graphicData>
          </a:graphic>
        </wp:anchor>
      </w:drawing>
    </w:r>
    <w:r>
      <w:rPr>
        <w:rFonts w:ascii="Times New Roman" w:hAnsi="Times New Roman" w:eastAsia="宋体" w:cs="Times New Roman"/>
        <w:sz w:val="13"/>
        <w:szCs w:val="13"/>
      </w:rPr>
      <w:t>楚雄州元谋县大中型水利水电工程移民搬迁安置和后期扶持“十四五”规划报告（2021～2025）　</w:t>
    </w:r>
    <w:r>
      <w:rPr>
        <w:rFonts w:hint="eastAsia" w:ascii="Times New Roman" w:hAnsi="Times New Roman" w:eastAsia="宋体" w:cs="Times New Roman"/>
        <w:sz w:val="13"/>
        <w:szCs w:val="13"/>
      </w:rPr>
      <w:t>　　　　　　</w:t>
    </w:r>
    <w:r>
      <w:rPr>
        <w:rFonts w:ascii="Times New Roman" w:hAnsi="Times New Roman" w:eastAsia="宋体" w:cs="Times New Roman"/>
        <w:sz w:val="13"/>
        <w:szCs w:val="13"/>
      </w:rPr>
      <w:t>　　　　　　　</w:t>
    </w:r>
    <w:r>
      <w:rPr>
        <w:rFonts w:hint="eastAsia" w:ascii="Times New Roman" w:hAnsi="Times New Roman" w:eastAsia="宋体" w:cs="Times New Roman"/>
        <w:sz w:val="13"/>
        <w:szCs w:val="13"/>
      </w:rPr>
      <w:t>第一篇　搬迁安置规划</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12" w:space="1"/>
      </w:pBdr>
      <w:spacing w:line="560" w:lineRule="exact"/>
      <w:ind w:right="644" w:rightChars="230"/>
      <w:rPr>
        <w:rFonts w:ascii="Times New Roman" w:hAnsi="Times New Roman" w:eastAsia="宋体" w:cs="Times New Roman"/>
        <w:sz w:val="13"/>
        <w:szCs w:val="13"/>
      </w:rPr>
    </w:pPr>
    <w:r>
      <w:rPr>
        <w:rFonts w:ascii="Times New Roman" w:hAnsi="Times New Roman" w:eastAsia="宋体" w:cs="Times New Roman"/>
        <w:sz w:val="13"/>
        <w:szCs w:val="13"/>
      </w:rPr>
      <w:drawing>
        <wp:anchor distT="0" distB="0" distL="114300" distR="114300" simplePos="0" relativeHeight="251662336" behindDoc="0" locked="0" layoutInCell="1" allowOverlap="1">
          <wp:simplePos x="0" y="0"/>
          <wp:positionH relativeFrom="margin">
            <wp:align>right</wp:align>
          </wp:positionH>
          <wp:positionV relativeFrom="paragraph">
            <wp:posOffset>71755</wp:posOffset>
          </wp:positionV>
          <wp:extent cx="361315" cy="361950"/>
          <wp:effectExtent l="0" t="0" r="0" b="0"/>
          <wp:wrapNone/>
          <wp:docPr id="12" name="图片 12" descr="说明: 1-2企业标志墨稿（用于黑白印刷）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说明: 1-2企业标志墨稿（用于黑白印刷） 拷贝.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61315" cy="361950"/>
                  </a:xfrm>
                  <a:prstGeom prst="rect">
                    <a:avLst/>
                  </a:prstGeom>
                  <a:noFill/>
                  <a:ln>
                    <a:noFill/>
                  </a:ln>
                </pic:spPr>
              </pic:pic>
            </a:graphicData>
          </a:graphic>
        </wp:anchor>
      </w:drawing>
    </w:r>
    <w:r>
      <w:rPr>
        <w:rFonts w:ascii="Times New Roman" w:hAnsi="Times New Roman" w:eastAsia="宋体" w:cs="Times New Roman"/>
        <w:sz w:val="13"/>
        <w:szCs w:val="13"/>
      </w:rPr>
      <w:t>楚雄州元谋县大中型水利水电工程移民搬迁安置和后期扶持“十四五”规划报告（2021～2025）　</w:t>
    </w:r>
    <w:r>
      <w:rPr>
        <w:rFonts w:hint="eastAsia" w:ascii="Times New Roman" w:hAnsi="Times New Roman" w:eastAsia="宋体" w:cs="Times New Roman"/>
        <w:sz w:val="13"/>
        <w:szCs w:val="13"/>
      </w:rPr>
      <w:t>　　　　　　</w:t>
    </w:r>
    <w:r>
      <w:rPr>
        <w:rFonts w:ascii="Times New Roman" w:hAnsi="Times New Roman" w:eastAsia="宋体" w:cs="Times New Roman"/>
        <w:sz w:val="13"/>
        <w:szCs w:val="13"/>
      </w:rPr>
      <w:t>　　　　　　　</w:t>
    </w:r>
    <w:r>
      <w:rPr>
        <w:rFonts w:hint="eastAsia" w:ascii="Times New Roman" w:hAnsi="Times New Roman" w:eastAsia="宋体" w:cs="Times New Roman"/>
        <w:sz w:val="13"/>
        <w:szCs w:val="13"/>
      </w:rPr>
      <w:t>第二篇　后期扶持规划</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12" w:space="1"/>
      </w:pBdr>
      <w:spacing w:line="560" w:lineRule="exact"/>
      <w:ind w:left="644" w:leftChars="230"/>
      <w:jc w:val="left"/>
    </w:pPr>
    <w:r>
      <w:drawing>
        <wp:anchor distT="0" distB="0" distL="114300" distR="114300" simplePos="0" relativeHeight="251663360" behindDoc="0" locked="0" layoutInCell="1" allowOverlap="1">
          <wp:simplePos x="0" y="0"/>
          <wp:positionH relativeFrom="margin">
            <wp:align>left</wp:align>
          </wp:positionH>
          <wp:positionV relativeFrom="paragraph">
            <wp:posOffset>71755</wp:posOffset>
          </wp:positionV>
          <wp:extent cx="361315" cy="361950"/>
          <wp:effectExtent l="0" t="0" r="0" b="0"/>
          <wp:wrapNone/>
          <wp:docPr id="13" name="图片 13" descr="说明: 1-2企业标志墨稿（用于黑白印刷）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说明: 1-2企业标志墨稿（用于黑白印刷） 拷贝.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61315" cy="361950"/>
                  </a:xfrm>
                  <a:prstGeom prst="rect">
                    <a:avLst/>
                  </a:prstGeom>
                  <a:noFill/>
                  <a:ln>
                    <a:noFill/>
                  </a:ln>
                </pic:spPr>
              </pic:pic>
            </a:graphicData>
          </a:graphic>
        </wp:anchor>
      </w:drawing>
    </w:r>
    <w:r>
      <w:rPr>
        <w:rFonts w:ascii="Times New Roman" w:hAnsi="Times New Roman" w:eastAsia="宋体" w:cs="Times New Roman"/>
        <w:sz w:val="13"/>
        <w:szCs w:val="13"/>
      </w:rPr>
      <w:t>楚雄州元谋县大中型水利水电工程移民搬迁安置和后期扶持“十四五”规划报告（2021～2025）　</w:t>
    </w:r>
    <w:r>
      <w:rPr>
        <w:rFonts w:hint="eastAsia" w:ascii="Times New Roman" w:hAnsi="Times New Roman" w:eastAsia="宋体" w:cs="Times New Roman"/>
        <w:sz w:val="13"/>
        <w:szCs w:val="13"/>
      </w:rPr>
      <w:t>　　　　　　</w:t>
    </w:r>
    <w:r>
      <w:rPr>
        <w:rFonts w:ascii="Times New Roman" w:hAnsi="Times New Roman" w:eastAsia="宋体" w:cs="Times New Roman"/>
        <w:sz w:val="13"/>
        <w:szCs w:val="13"/>
      </w:rPr>
      <w:t>　　　　　　　</w:t>
    </w:r>
    <w:r>
      <w:rPr>
        <w:rFonts w:hint="eastAsia" w:ascii="Times New Roman" w:hAnsi="Times New Roman" w:eastAsia="宋体" w:cs="Times New Roman"/>
        <w:sz w:val="13"/>
        <w:szCs w:val="13"/>
      </w:rPr>
      <w:t>第二篇　后期扶持规划</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12" w:space="1"/>
      </w:pBdr>
      <w:spacing w:line="560" w:lineRule="exact"/>
      <w:ind w:right="644" w:rightChars="230"/>
      <w:rPr>
        <w:rFonts w:ascii="Times New Roman" w:hAnsi="Times New Roman" w:eastAsia="宋体" w:cs="Times New Roman"/>
        <w:sz w:val="13"/>
        <w:szCs w:val="13"/>
      </w:rPr>
    </w:pPr>
    <w:r>
      <w:rPr>
        <w:rFonts w:ascii="Times New Roman" w:hAnsi="Times New Roman" w:eastAsia="宋体" w:cs="Times New Roman"/>
        <w:sz w:val="13"/>
        <w:szCs w:val="13"/>
      </w:rPr>
      <w:drawing>
        <wp:anchor distT="0" distB="0" distL="114300" distR="114300" simplePos="0" relativeHeight="251665408" behindDoc="0" locked="0" layoutInCell="1" allowOverlap="1">
          <wp:simplePos x="0" y="0"/>
          <wp:positionH relativeFrom="margin">
            <wp:align>right</wp:align>
          </wp:positionH>
          <wp:positionV relativeFrom="paragraph">
            <wp:posOffset>71755</wp:posOffset>
          </wp:positionV>
          <wp:extent cx="361315" cy="361950"/>
          <wp:effectExtent l="0" t="0" r="0" b="0"/>
          <wp:wrapNone/>
          <wp:docPr id="15" name="图片 15" descr="说明: 1-2企业标志墨稿（用于黑白印刷）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说明: 1-2企业标志墨稿（用于黑白印刷） 拷贝.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61315" cy="361950"/>
                  </a:xfrm>
                  <a:prstGeom prst="rect">
                    <a:avLst/>
                  </a:prstGeom>
                  <a:noFill/>
                  <a:ln>
                    <a:noFill/>
                  </a:ln>
                </pic:spPr>
              </pic:pic>
            </a:graphicData>
          </a:graphic>
        </wp:anchor>
      </w:drawing>
    </w:r>
    <w:r>
      <w:rPr>
        <w:rFonts w:ascii="Times New Roman" w:hAnsi="Times New Roman" w:eastAsia="宋体" w:cs="Times New Roman"/>
        <w:sz w:val="13"/>
        <w:szCs w:val="13"/>
      </w:rPr>
      <w:t>楚雄州元谋县大中型水利水电工程移民搬迁安置和后期扶持“十四五”规划报告（2021～2025）　</w:t>
    </w:r>
    <w:r>
      <w:rPr>
        <w:rFonts w:hint="eastAsia" w:ascii="Times New Roman" w:hAnsi="Times New Roman" w:eastAsia="宋体" w:cs="Times New Roman"/>
        <w:sz w:val="13"/>
        <w:szCs w:val="13"/>
      </w:rPr>
      <w:t>　　　　　　</w:t>
    </w:r>
    <w:r>
      <w:rPr>
        <w:rFonts w:ascii="Times New Roman" w:hAnsi="Times New Roman" w:eastAsia="宋体" w:cs="Times New Roman"/>
        <w:sz w:val="13"/>
        <w:szCs w:val="13"/>
      </w:rPr>
      <w:t>　　　　　　　</w:t>
    </w:r>
    <w:r>
      <w:rPr>
        <w:rFonts w:hint="eastAsia" w:ascii="Times New Roman" w:hAnsi="Times New Roman" w:eastAsia="宋体" w:cs="Times New Roman"/>
        <w:sz w:val="13"/>
        <w:szCs w:val="13"/>
      </w:rPr>
      <w:t>　　第三篇　保障措施</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hideSpellingErrors/>
  <w:documentProtection w:enforcement="0"/>
  <w:defaultTabStop w:val="420"/>
  <w:evenAndOddHeaders w:val="1"/>
  <w:drawingGridHorizontalSpacing w:val="2"/>
  <w:drawingGridVerticalSpacing w:val="19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671"/>
    <w:rsid w:val="0000312D"/>
    <w:rsid w:val="000048A7"/>
    <w:rsid w:val="00004D02"/>
    <w:rsid w:val="00005991"/>
    <w:rsid w:val="00005D05"/>
    <w:rsid w:val="000074A9"/>
    <w:rsid w:val="00007EA6"/>
    <w:rsid w:val="00011323"/>
    <w:rsid w:val="00011799"/>
    <w:rsid w:val="00011807"/>
    <w:rsid w:val="000129F2"/>
    <w:rsid w:val="00013439"/>
    <w:rsid w:val="00013BC8"/>
    <w:rsid w:val="00013D95"/>
    <w:rsid w:val="0001476C"/>
    <w:rsid w:val="00014873"/>
    <w:rsid w:val="00015B5B"/>
    <w:rsid w:val="00017DB7"/>
    <w:rsid w:val="000209E8"/>
    <w:rsid w:val="00022217"/>
    <w:rsid w:val="00022218"/>
    <w:rsid w:val="000223F5"/>
    <w:rsid w:val="000231C6"/>
    <w:rsid w:val="00023338"/>
    <w:rsid w:val="0002368C"/>
    <w:rsid w:val="000247AC"/>
    <w:rsid w:val="000265C1"/>
    <w:rsid w:val="00027702"/>
    <w:rsid w:val="00030503"/>
    <w:rsid w:val="000313E6"/>
    <w:rsid w:val="00034EDF"/>
    <w:rsid w:val="00036452"/>
    <w:rsid w:val="000379D2"/>
    <w:rsid w:val="00041DEC"/>
    <w:rsid w:val="00041F86"/>
    <w:rsid w:val="00042427"/>
    <w:rsid w:val="000451A2"/>
    <w:rsid w:val="000462AD"/>
    <w:rsid w:val="00046AAB"/>
    <w:rsid w:val="00046DD5"/>
    <w:rsid w:val="00046F80"/>
    <w:rsid w:val="00047DB4"/>
    <w:rsid w:val="000517DD"/>
    <w:rsid w:val="0005188A"/>
    <w:rsid w:val="00051A5B"/>
    <w:rsid w:val="00051DF7"/>
    <w:rsid w:val="00052AB5"/>
    <w:rsid w:val="000551F3"/>
    <w:rsid w:val="000555AE"/>
    <w:rsid w:val="00057547"/>
    <w:rsid w:val="000601C1"/>
    <w:rsid w:val="00060E69"/>
    <w:rsid w:val="00060F49"/>
    <w:rsid w:val="00062226"/>
    <w:rsid w:val="0006254B"/>
    <w:rsid w:val="00063EE6"/>
    <w:rsid w:val="000641CC"/>
    <w:rsid w:val="000645F2"/>
    <w:rsid w:val="00065A7D"/>
    <w:rsid w:val="00065F3D"/>
    <w:rsid w:val="000675B3"/>
    <w:rsid w:val="00070730"/>
    <w:rsid w:val="00070CD2"/>
    <w:rsid w:val="00071A12"/>
    <w:rsid w:val="0007228A"/>
    <w:rsid w:val="000724C9"/>
    <w:rsid w:val="00072558"/>
    <w:rsid w:val="00072DF7"/>
    <w:rsid w:val="0007360C"/>
    <w:rsid w:val="0007368B"/>
    <w:rsid w:val="000761A4"/>
    <w:rsid w:val="00077D66"/>
    <w:rsid w:val="000802BB"/>
    <w:rsid w:val="00080D8D"/>
    <w:rsid w:val="00085015"/>
    <w:rsid w:val="00085AC7"/>
    <w:rsid w:val="00086960"/>
    <w:rsid w:val="00090968"/>
    <w:rsid w:val="00090A18"/>
    <w:rsid w:val="0009256E"/>
    <w:rsid w:val="0009302D"/>
    <w:rsid w:val="000934D1"/>
    <w:rsid w:val="00094D28"/>
    <w:rsid w:val="000955A1"/>
    <w:rsid w:val="000959E5"/>
    <w:rsid w:val="00096AAA"/>
    <w:rsid w:val="00096BB2"/>
    <w:rsid w:val="000A0065"/>
    <w:rsid w:val="000A0683"/>
    <w:rsid w:val="000A084A"/>
    <w:rsid w:val="000A4DCC"/>
    <w:rsid w:val="000A66E3"/>
    <w:rsid w:val="000A66F3"/>
    <w:rsid w:val="000A6958"/>
    <w:rsid w:val="000A6ADD"/>
    <w:rsid w:val="000A6EA9"/>
    <w:rsid w:val="000A7AF6"/>
    <w:rsid w:val="000B0D67"/>
    <w:rsid w:val="000B14C3"/>
    <w:rsid w:val="000B1848"/>
    <w:rsid w:val="000B298A"/>
    <w:rsid w:val="000B44E0"/>
    <w:rsid w:val="000B4E46"/>
    <w:rsid w:val="000B6347"/>
    <w:rsid w:val="000B6A93"/>
    <w:rsid w:val="000B7F05"/>
    <w:rsid w:val="000C1F24"/>
    <w:rsid w:val="000C3A01"/>
    <w:rsid w:val="000C3EBA"/>
    <w:rsid w:val="000C4240"/>
    <w:rsid w:val="000C5600"/>
    <w:rsid w:val="000C5E3F"/>
    <w:rsid w:val="000C6D9A"/>
    <w:rsid w:val="000D18CC"/>
    <w:rsid w:val="000D1F76"/>
    <w:rsid w:val="000D2312"/>
    <w:rsid w:val="000D28C5"/>
    <w:rsid w:val="000D3997"/>
    <w:rsid w:val="000D4965"/>
    <w:rsid w:val="000D5E2A"/>
    <w:rsid w:val="000D6872"/>
    <w:rsid w:val="000E13FF"/>
    <w:rsid w:val="000E1BFF"/>
    <w:rsid w:val="000E1C07"/>
    <w:rsid w:val="000E22F2"/>
    <w:rsid w:val="000E2ACF"/>
    <w:rsid w:val="000E3456"/>
    <w:rsid w:val="000E4525"/>
    <w:rsid w:val="000E48CC"/>
    <w:rsid w:val="000E4958"/>
    <w:rsid w:val="000E4B83"/>
    <w:rsid w:val="000E56F4"/>
    <w:rsid w:val="000E5C24"/>
    <w:rsid w:val="000E66CC"/>
    <w:rsid w:val="000E67B0"/>
    <w:rsid w:val="000E7F3C"/>
    <w:rsid w:val="000F052F"/>
    <w:rsid w:val="000F0D2A"/>
    <w:rsid w:val="000F2D6F"/>
    <w:rsid w:val="000F453C"/>
    <w:rsid w:val="000F45D1"/>
    <w:rsid w:val="000F50F6"/>
    <w:rsid w:val="000F5C64"/>
    <w:rsid w:val="000F71BA"/>
    <w:rsid w:val="001015DE"/>
    <w:rsid w:val="00102D99"/>
    <w:rsid w:val="00102F40"/>
    <w:rsid w:val="001043F7"/>
    <w:rsid w:val="0010620E"/>
    <w:rsid w:val="0010749E"/>
    <w:rsid w:val="001079E4"/>
    <w:rsid w:val="0011039A"/>
    <w:rsid w:val="00112567"/>
    <w:rsid w:val="0011321B"/>
    <w:rsid w:val="00114A4B"/>
    <w:rsid w:val="00115F60"/>
    <w:rsid w:val="00115F94"/>
    <w:rsid w:val="00120DDC"/>
    <w:rsid w:val="0012241C"/>
    <w:rsid w:val="00123ECE"/>
    <w:rsid w:val="00124052"/>
    <w:rsid w:val="0012517B"/>
    <w:rsid w:val="0012643E"/>
    <w:rsid w:val="001278C2"/>
    <w:rsid w:val="00130D28"/>
    <w:rsid w:val="001314FD"/>
    <w:rsid w:val="00132518"/>
    <w:rsid w:val="00132F69"/>
    <w:rsid w:val="00133F4F"/>
    <w:rsid w:val="00140197"/>
    <w:rsid w:val="00142953"/>
    <w:rsid w:val="0014683C"/>
    <w:rsid w:val="001476BF"/>
    <w:rsid w:val="001477EA"/>
    <w:rsid w:val="00147A57"/>
    <w:rsid w:val="00147EA1"/>
    <w:rsid w:val="00147F17"/>
    <w:rsid w:val="00156561"/>
    <w:rsid w:val="0015687A"/>
    <w:rsid w:val="00156AD6"/>
    <w:rsid w:val="00157D1B"/>
    <w:rsid w:val="0016032B"/>
    <w:rsid w:val="00160C36"/>
    <w:rsid w:val="00160CAE"/>
    <w:rsid w:val="00161322"/>
    <w:rsid w:val="00163C78"/>
    <w:rsid w:val="001657A8"/>
    <w:rsid w:val="001660FD"/>
    <w:rsid w:val="00166220"/>
    <w:rsid w:val="00167207"/>
    <w:rsid w:val="00170098"/>
    <w:rsid w:val="00170E38"/>
    <w:rsid w:val="001715AA"/>
    <w:rsid w:val="00173000"/>
    <w:rsid w:val="001734C0"/>
    <w:rsid w:val="00174E49"/>
    <w:rsid w:val="00175590"/>
    <w:rsid w:val="00175630"/>
    <w:rsid w:val="001758B2"/>
    <w:rsid w:val="00176338"/>
    <w:rsid w:val="00176A8C"/>
    <w:rsid w:val="00177426"/>
    <w:rsid w:val="00181421"/>
    <w:rsid w:val="00182984"/>
    <w:rsid w:val="00182F97"/>
    <w:rsid w:val="0018330B"/>
    <w:rsid w:val="00184112"/>
    <w:rsid w:val="00184424"/>
    <w:rsid w:val="0018464E"/>
    <w:rsid w:val="00184BF2"/>
    <w:rsid w:val="0018517F"/>
    <w:rsid w:val="00185B7B"/>
    <w:rsid w:val="00186601"/>
    <w:rsid w:val="00186BFF"/>
    <w:rsid w:val="00190168"/>
    <w:rsid w:val="00192C5A"/>
    <w:rsid w:val="00193097"/>
    <w:rsid w:val="00193F73"/>
    <w:rsid w:val="00196C29"/>
    <w:rsid w:val="0019753A"/>
    <w:rsid w:val="001A0B86"/>
    <w:rsid w:val="001A1EEF"/>
    <w:rsid w:val="001A41D8"/>
    <w:rsid w:val="001A4AA0"/>
    <w:rsid w:val="001A54D4"/>
    <w:rsid w:val="001A5550"/>
    <w:rsid w:val="001A5715"/>
    <w:rsid w:val="001A78F3"/>
    <w:rsid w:val="001B2461"/>
    <w:rsid w:val="001B35AC"/>
    <w:rsid w:val="001B52B2"/>
    <w:rsid w:val="001B5DF8"/>
    <w:rsid w:val="001B65EB"/>
    <w:rsid w:val="001C007D"/>
    <w:rsid w:val="001C1470"/>
    <w:rsid w:val="001C2018"/>
    <w:rsid w:val="001C2CEF"/>
    <w:rsid w:val="001C31DF"/>
    <w:rsid w:val="001C45B6"/>
    <w:rsid w:val="001C632B"/>
    <w:rsid w:val="001C6647"/>
    <w:rsid w:val="001C6732"/>
    <w:rsid w:val="001C78C1"/>
    <w:rsid w:val="001D0F1E"/>
    <w:rsid w:val="001D491C"/>
    <w:rsid w:val="001D67D7"/>
    <w:rsid w:val="001D6E58"/>
    <w:rsid w:val="001D7885"/>
    <w:rsid w:val="001E138A"/>
    <w:rsid w:val="001E1582"/>
    <w:rsid w:val="001E16F7"/>
    <w:rsid w:val="001E266D"/>
    <w:rsid w:val="001E3C1A"/>
    <w:rsid w:val="001E3DFE"/>
    <w:rsid w:val="001E3EC0"/>
    <w:rsid w:val="001E4C88"/>
    <w:rsid w:val="001E5606"/>
    <w:rsid w:val="001E6066"/>
    <w:rsid w:val="001E6E39"/>
    <w:rsid w:val="001E7DCB"/>
    <w:rsid w:val="001F2CA3"/>
    <w:rsid w:val="001F6177"/>
    <w:rsid w:val="001F6239"/>
    <w:rsid w:val="001F6DCA"/>
    <w:rsid w:val="001F6F3A"/>
    <w:rsid w:val="001F71DD"/>
    <w:rsid w:val="001F7D00"/>
    <w:rsid w:val="001F7D1E"/>
    <w:rsid w:val="00200EFA"/>
    <w:rsid w:val="0020123F"/>
    <w:rsid w:val="00203470"/>
    <w:rsid w:val="00204BB9"/>
    <w:rsid w:val="00205789"/>
    <w:rsid w:val="00205E24"/>
    <w:rsid w:val="00206DC9"/>
    <w:rsid w:val="002073E4"/>
    <w:rsid w:val="00207CFC"/>
    <w:rsid w:val="00210F31"/>
    <w:rsid w:val="00211269"/>
    <w:rsid w:val="00212833"/>
    <w:rsid w:val="00212E66"/>
    <w:rsid w:val="00213AA4"/>
    <w:rsid w:val="00215B78"/>
    <w:rsid w:val="002207E0"/>
    <w:rsid w:val="00220855"/>
    <w:rsid w:val="00221520"/>
    <w:rsid w:val="002233AD"/>
    <w:rsid w:val="0022402C"/>
    <w:rsid w:val="00224544"/>
    <w:rsid w:val="00224AFF"/>
    <w:rsid w:val="00225274"/>
    <w:rsid w:val="00226AF5"/>
    <w:rsid w:val="00232D60"/>
    <w:rsid w:val="00234AF5"/>
    <w:rsid w:val="00234B93"/>
    <w:rsid w:val="00234BC5"/>
    <w:rsid w:val="00236CD8"/>
    <w:rsid w:val="00237C77"/>
    <w:rsid w:val="00237DE0"/>
    <w:rsid w:val="002411F0"/>
    <w:rsid w:val="00241CA1"/>
    <w:rsid w:val="002420FE"/>
    <w:rsid w:val="00242A1B"/>
    <w:rsid w:val="00242A39"/>
    <w:rsid w:val="00243567"/>
    <w:rsid w:val="002435C4"/>
    <w:rsid w:val="00244F4F"/>
    <w:rsid w:val="00245DD0"/>
    <w:rsid w:val="0024629C"/>
    <w:rsid w:val="0024705F"/>
    <w:rsid w:val="0024768C"/>
    <w:rsid w:val="002501BB"/>
    <w:rsid w:val="002513C9"/>
    <w:rsid w:val="002516D2"/>
    <w:rsid w:val="00251825"/>
    <w:rsid w:val="00251E66"/>
    <w:rsid w:val="002522A1"/>
    <w:rsid w:val="00253143"/>
    <w:rsid w:val="00253E3D"/>
    <w:rsid w:val="0025430D"/>
    <w:rsid w:val="0025445D"/>
    <w:rsid w:val="00254874"/>
    <w:rsid w:val="002560B7"/>
    <w:rsid w:val="00256B24"/>
    <w:rsid w:val="00260D24"/>
    <w:rsid w:val="0026264E"/>
    <w:rsid w:val="00263AEE"/>
    <w:rsid w:val="00263C77"/>
    <w:rsid w:val="00263E9A"/>
    <w:rsid w:val="00265743"/>
    <w:rsid w:val="0026664A"/>
    <w:rsid w:val="00267F1D"/>
    <w:rsid w:val="002707D0"/>
    <w:rsid w:val="00270FDB"/>
    <w:rsid w:val="00272C97"/>
    <w:rsid w:val="00272F3A"/>
    <w:rsid w:val="00273B3E"/>
    <w:rsid w:val="0027534C"/>
    <w:rsid w:val="00275DD5"/>
    <w:rsid w:val="00276105"/>
    <w:rsid w:val="0027693B"/>
    <w:rsid w:val="00276DCE"/>
    <w:rsid w:val="00277FF2"/>
    <w:rsid w:val="002805AE"/>
    <w:rsid w:val="00281472"/>
    <w:rsid w:val="00286490"/>
    <w:rsid w:val="00286720"/>
    <w:rsid w:val="002904DB"/>
    <w:rsid w:val="00291F62"/>
    <w:rsid w:val="00292450"/>
    <w:rsid w:val="00293535"/>
    <w:rsid w:val="002938FC"/>
    <w:rsid w:val="002964D7"/>
    <w:rsid w:val="0029717F"/>
    <w:rsid w:val="002A0A17"/>
    <w:rsid w:val="002A30E6"/>
    <w:rsid w:val="002A43E5"/>
    <w:rsid w:val="002A4FA6"/>
    <w:rsid w:val="002A5C6F"/>
    <w:rsid w:val="002A6C01"/>
    <w:rsid w:val="002A6D0D"/>
    <w:rsid w:val="002A7940"/>
    <w:rsid w:val="002A79A2"/>
    <w:rsid w:val="002B0E11"/>
    <w:rsid w:val="002B1795"/>
    <w:rsid w:val="002B2D92"/>
    <w:rsid w:val="002B7275"/>
    <w:rsid w:val="002B7289"/>
    <w:rsid w:val="002C2270"/>
    <w:rsid w:val="002C26EB"/>
    <w:rsid w:val="002C3F4C"/>
    <w:rsid w:val="002C4AC9"/>
    <w:rsid w:val="002C5A49"/>
    <w:rsid w:val="002C66A0"/>
    <w:rsid w:val="002C682A"/>
    <w:rsid w:val="002C6DB7"/>
    <w:rsid w:val="002D0723"/>
    <w:rsid w:val="002D1686"/>
    <w:rsid w:val="002D403E"/>
    <w:rsid w:val="002D64C6"/>
    <w:rsid w:val="002D758B"/>
    <w:rsid w:val="002D7EC5"/>
    <w:rsid w:val="002E0B2F"/>
    <w:rsid w:val="002E2BD5"/>
    <w:rsid w:val="002E3DB2"/>
    <w:rsid w:val="002E587D"/>
    <w:rsid w:val="002E5E41"/>
    <w:rsid w:val="002E5F2F"/>
    <w:rsid w:val="002E6D86"/>
    <w:rsid w:val="002E6F43"/>
    <w:rsid w:val="002E7215"/>
    <w:rsid w:val="002F01CA"/>
    <w:rsid w:val="002F02A3"/>
    <w:rsid w:val="002F0EBD"/>
    <w:rsid w:val="002F4171"/>
    <w:rsid w:val="002F6233"/>
    <w:rsid w:val="002F6AB3"/>
    <w:rsid w:val="002F7275"/>
    <w:rsid w:val="002F76F6"/>
    <w:rsid w:val="002F79B7"/>
    <w:rsid w:val="002F7D8B"/>
    <w:rsid w:val="00300F1A"/>
    <w:rsid w:val="00302F74"/>
    <w:rsid w:val="00303E8E"/>
    <w:rsid w:val="003053DA"/>
    <w:rsid w:val="00307535"/>
    <w:rsid w:val="00307656"/>
    <w:rsid w:val="003101E0"/>
    <w:rsid w:val="00310A52"/>
    <w:rsid w:val="00311B0C"/>
    <w:rsid w:val="00312ED4"/>
    <w:rsid w:val="003136F7"/>
    <w:rsid w:val="00313719"/>
    <w:rsid w:val="003139FB"/>
    <w:rsid w:val="00313F17"/>
    <w:rsid w:val="003147DC"/>
    <w:rsid w:val="0031577A"/>
    <w:rsid w:val="00316CA1"/>
    <w:rsid w:val="00317333"/>
    <w:rsid w:val="00317EE8"/>
    <w:rsid w:val="003213D7"/>
    <w:rsid w:val="0032172A"/>
    <w:rsid w:val="00322C97"/>
    <w:rsid w:val="00322D8A"/>
    <w:rsid w:val="0032390F"/>
    <w:rsid w:val="0032442F"/>
    <w:rsid w:val="00324840"/>
    <w:rsid w:val="00326095"/>
    <w:rsid w:val="003260B5"/>
    <w:rsid w:val="00327495"/>
    <w:rsid w:val="0033064C"/>
    <w:rsid w:val="00332E23"/>
    <w:rsid w:val="00333409"/>
    <w:rsid w:val="00335B85"/>
    <w:rsid w:val="00335D58"/>
    <w:rsid w:val="00335DB8"/>
    <w:rsid w:val="00336DC1"/>
    <w:rsid w:val="00337702"/>
    <w:rsid w:val="00337D9F"/>
    <w:rsid w:val="003404F1"/>
    <w:rsid w:val="0034190F"/>
    <w:rsid w:val="0034234F"/>
    <w:rsid w:val="0034458E"/>
    <w:rsid w:val="003454B7"/>
    <w:rsid w:val="00346112"/>
    <w:rsid w:val="00351EDB"/>
    <w:rsid w:val="00353838"/>
    <w:rsid w:val="0035491C"/>
    <w:rsid w:val="00355AC0"/>
    <w:rsid w:val="00355C69"/>
    <w:rsid w:val="003561D7"/>
    <w:rsid w:val="003562CC"/>
    <w:rsid w:val="00360AE2"/>
    <w:rsid w:val="00360BF8"/>
    <w:rsid w:val="00360DA0"/>
    <w:rsid w:val="00363400"/>
    <w:rsid w:val="00363FD7"/>
    <w:rsid w:val="00364BF3"/>
    <w:rsid w:val="00365956"/>
    <w:rsid w:val="003674A7"/>
    <w:rsid w:val="00370C40"/>
    <w:rsid w:val="003716E5"/>
    <w:rsid w:val="003734A0"/>
    <w:rsid w:val="003751A7"/>
    <w:rsid w:val="00376212"/>
    <w:rsid w:val="003762EB"/>
    <w:rsid w:val="00376643"/>
    <w:rsid w:val="00376980"/>
    <w:rsid w:val="0038103A"/>
    <w:rsid w:val="0038195E"/>
    <w:rsid w:val="00381A3B"/>
    <w:rsid w:val="00381F33"/>
    <w:rsid w:val="003826C4"/>
    <w:rsid w:val="00382AA8"/>
    <w:rsid w:val="003844C4"/>
    <w:rsid w:val="003859EA"/>
    <w:rsid w:val="00386ED3"/>
    <w:rsid w:val="00387244"/>
    <w:rsid w:val="00387E8D"/>
    <w:rsid w:val="003916DE"/>
    <w:rsid w:val="00391912"/>
    <w:rsid w:val="00392A91"/>
    <w:rsid w:val="00393277"/>
    <w:rsid w:val="003935B0"/>
    <w:rsid w:val="00393B7E"/>
    <w:rsid w:val="003946B7"/>
    <w:rsid w:val="0039767E"/>
    <w:rsid w:val="003A0BCF"/>
    <w:rsid w:val="003A2181"/>
    <w:rsid w:val="003A39D9"/>
    <w:rsid w:val="003A3BD5"/>
    <w:rsid w:val="003A3EEA"/>
    <w:rsid w:val="003A5484"/>
    <w:rsid w:val="003A5C9A"/>
    <w:rsid w:val="003B02CC"/>
    <w:rsid w:val="003B047D"/>
    <w:rsid w:val="003B1224"/>
    <w:rsid w:val="003B17A4"/>
    <w:rsid w:val="003B18C3"/>
    <w:rsid w:val="003B49F8"/>
    <w:rsid w:val="003B56E8"/>
    <w:rsid w:val="003B7355"/>
    <w:rsid w:val="003B736D"/>
    <w:rsid w:val="003C0265"/>
    <w:rsid w:val="003C2FC8"/>
    <w:rsid w:val="003C3E2D"/>
    <w:rsid w:val="003C5543"/>
    <w:rsid w:val="003C6A37"/>
    <w:rsid w:val="003C6B6C"/>
    <w:rsid w:val="003C701C"/>
    <w:rsid w:val="003C753A"/>
    <w:rsid w:val="003D0B75"/>
    <w:rsid w:val="003D0DF1"/>
    <w:rsid w:val="003D2E8C"/>
    <w:rsid w:val="003D3021"/>
    <w:rsid w:val="003D38CF"/>
    <w:rsid w:val="003D3DAC"/>
    <w:rsid w:val="003D47BC"/>
    <w:rsid w:val="003D4E79"/>
    <w:rsid w:val="003D535B"/>
    <w:rsid w:val="003D5733"/>
    <w:rsid w:val="003D5BCD"/>
    <w:rsid w:val="003E18FA"/>
    <w:rsid w:val="003E250E"/>
    <w:rsid w:val="003E28E0"/>
    <w:rsid w:val="003E3BFE"/>
    <w:rsid w:val="003E4687"/>
    <w:rsid w:val="003E5542"/>
    <w:rsid w:val="003E74A2"/>
    <w:rsid w:val="003F0FAB"/>
    <w:rsid w:val="003F1855"/>
    <w:rsid w:val="003F1F53"/>
    <w:rsid w:val="003F223E"/>
    <w:rsid w:val="003F54E1"/>
    <w:rsid w:val="003F568D"/>
    <w:rsid w:val="003F575A"/>
    <w:rsid w:val="003F5BDF"/>
    <w:rsid w:val="003F5F39"/>
    <w:rsid w:val="003F7475"/>
    <w:rsid w:val="004003E7"/>
    <w:rsid w:val="004013F5"/>
    <w:rsid w:val="004013FE"/>
    <w:rsid w:val="00403244"/>
    <w:rsid w:val="00403E3E"/>
    <w:rsid w:val="004047CA"/>
    <w:rsid w:val="004058B1"/>
    <w:rsid w:val="00405AFD"/>
    <w:rsid w:val="004115D8"/>
    <w:rsid w:val="004121A9"/>
    <w:rsid w:val="004122DC"/>
    <w:rsid w:val="00414722"/>
    <w:rsid w:val="0041477D"/>
    <w:rsid w:val="00414E08"/>
    <w:rsid w:val="00415258"/>
    <w:rsid w:val="00417457"/>
    <w:rsid w:val="00420DBB"/>
    <w:rsid w:val="00420EA4"/>
    <w:rsid w:val="00421C73"/>
    <w:rsid w:val="00423106"/>
    <w:rsid w:val="0042335C"/>
    <w:rsid w:val="00423576"/>
    <w:rsid w:val="0042421E"/>
    <w:rsid w:val="004249F0"/>
    <w:rsid w:val="004257AA"/>
    <w:rsid w:val="00426F18"/>
    <w:rsid w:val="0042755F"/>
    <w:rsid w:val="0042767F"/>
    <w:rsid w:val="00427C31"/>
    <w:rsid w:val="00433761"/>
    <w:rsid w:val="004342EE"/>
    <w:rsid w:val="00435E3F"/>
    <w:rsid w:val="00436924"/>
    <w:rsid w:val="0044084F"/>
    <w:rsid w:val="0044193F"/>
    <w:rsid w:val="00442421"/>
    <w:rsid w:val="004427AF"/>
    <w:rsid w:val="004431BB"/>
    <w:rsid w:val="004446D5"/>
    <w:rsid w:val="0044705E"/>
    <w:rsid w:val="0045025C"/>
    <w:rsid w:val="00450EED"/>
    <w:rsid w:val="004566CE"/>
    <w:rsid w:val="00456771"/>
    <w:rsid w:val="004573E9"/>
    <w:rsid w:val="004633FB"/>
    <w:rsid w:val="00464AEE"/>
    <w:rsid w:val="00464B1F"/>
    <w:rsid w:val="00464C17"/>
    <w:rsid w:val="00464D23"/>
    <w:rsid w:val="00465327"/>
    <w:rsid w:val="00466AD6"/>
    <w:rsid w:val="00466F66"/>
    <w:rsid w:val="004678B7"/>
    <w:rsid w:val="00470426"/>
    <w:rsid w:val="00470F85"/>
    <w:rsid w:val="0047166B"/>
    <w:rsid w:val="00471AA0"/>
    <w:rsid w:val="00472629"/>
    <w:rsid w:val="004728F9"/>
    <w:rsid w:val="00472E29"/>
    <w:rsid w:val="00474EF7"/>
    <w:rsid w:val="00475F61"/>
    <w:rsid w:val="00480E9D"/>
    <w:rsid w:val="00481C80"/>
    <w:rsid w:val="00482DEE"/>
    <w:rsid w:val="00483BB5"/>
    <w:rsid w:val="00483E61"/>
    <w:rsid w:val="00485E85"/>
    <w:rsid w:val="00492385"/>
    <w:rsid w:val="00492E8C"/>
    <w:rsid w:val="00494580"/>
    <w:rsid w:val="00494F5C"/>
    <w:rsid w:val="00495D36"/>
    <w:rsid w:val="004962A4"/>
    <w:rsid w:val="00496A85"/>
    <w:rsid w:val="004A046E"/>
    <w:rsid w:val="004A0D62"/>
    <w:rsid w:val="004A0E3C"/>
    <w:rsid w:val="004A27D5"/>
    <w:rsid w:val="004A4CF4"/>
    <w:rsid w:val="004A53AC"/>
    <w:rsid w:val="004A5E00"/>
    <w:rsid w:val="004A6446"/>
    <w:rsid w:val="004A7A9D"/>
    <w:rsid w:val="004B14E8"/>
    <w:rsid w:val="004B1DDC"/>
    <w:rsid w:val="004B572E"/>
    <w:rsid w:val="004B6001"/>
    <w:rsid w:val="004B6452"/>
    <w:rsid w:val="004B7CD3"/>
    <w:rsid w:val="004C0C1D"/>
    <w:rsid w:val="004C1E28"/>
    <w:rsid w:val="004C281F"/>
    <w:rsid w:val="004C2EB9"/>
    <w:rsid w:val="004C392B"/>
    <w:rsid w:val="004C3A2C"/>
    <w:rsid w:val="004C3E39"/>
    <w:rsid w:val="004C40F9"/>
    <w:rsid w:val="004C55F7"/>
    <w:rsid w:val="004C5613"/>
    <w:rsid w:val="004C6D14"/>
    <w:rsid w:val="004C6E3E"/>
    <w:rsid w:val="004D07AD"/>
    <w:rsid w:val="004D08FB"/>
    <w:rsid w:val="004D1457"/>
    <w:rsid w:val="004D1D2B"/>
    <w:rsid w:val="004D41E0"/>
    <w:rsid w:val="004D4D44"/>
    <w:rsid w:val="004D60DE"/>
    <w:rsid w:val="004D637B"/>
    <w:rsid w:val="004D6D0F"/>
    <w:rsid w:val="004D7365"/>
    <w:rsid w:val="004E0AB6"/>
    <w:rsid w:val="004E0F5A"/>
    <w:rsid w:val="004E31EC"/>
    <w:rsid w:val="004E4222"/>
    <w:rsid w:val="004E43DB"/>
    <w:rsid w:val="004E528D"/>
    <w:rsid w:val="004E6821"/>
    <w:rsid w:val="004E7227"/>
    <w:rsid w:val="004F1ACC"/>
    <w:rsid w:val="004F1C01"/>
    <w:rsid w:val="004F352E"/>
    <w:rsid w:val="004F489F"/>
    <w:rsid w:val="004F4DFC"/>
    <w:rsid w:val="004F5966"/>
    <w:rsid w:val="004F665E"/>
    <w:rsid w:val="004F68DD"/>
    <w:rsid w:val="00501767"/>
    <w:rsid w:val="00502072"/>
    <w:rsid w:val="00502190"/>
    <w:rsid w:val="00502600"/>
    <w:rsid w:val="0050583E"/>
    <w:rsid w:val="00505A6B"/>
    <w:rsid w:val="005060E5"/>
    <w:rsid w:val="00507676"/>
    <w:rsid w:val="005076DE"/>
    <w:rsid w:val="00507BD6"/>
    <w:rsid w:val="00511D64"/>
    <w:rsid w:val="00511E24"/>
    <w:rsid w:val="00512F84"/>
    <w:rsid w:val="0051303C"/>
    <w:rsid w:val="005131B0"/>
    <w:rsid w:val="00513CF8"/>
    <w:rsid w:val="00522348"/>
    <w:rsid w:val="005252B4"/>
    <w:rsid w:val="005262A8"/>
    <w:rsid w:val="005266B2"/>
    <w:rsid w:val="005301D2"/>
    <w:rsid w:val="0053073F"/>
    <w:rsid w:val="00530990"/>
    <w:rsid w:val="005352D5"/>
    <w:rsid w:val="005363B1"/>
    <w:rsid w:val="00541042"/>
    <w:rsid w:val="005412B8"/>
    <w:rsid w:val="00541638"/>
    <w:rsid w:val="00541F80"/>
    <w:rsid w:val="005436F1"/>
    <w:rsid w:val="00544A5A"/>
    <w:rsid w:val="00544C35"/>
    <w:rsid w:val="00544DE7"/>
    <w:rsid w:val="00544FF3"/>
    <w:rsid w:val="00545F2D"/>
    <w:rsid w:val="00546711"/>
    <w:rsid w:val="0054759F"/>
    <w:rsid w:val="005503F7"/>
    <w:rsid w:val="00552C4B"/>
    <w:rsid w:val="00553293"/>
    <w:rsid w:val="00553A31"/>
    <w:rsid w:val="0056036A"/>
    <w:rsid w:val="0056366B"/>
    <w:rsid w:val="00563BB4"/>
    <w:rsid w:val="00563D62"/>
    <w:rsid w:val="00563DB0"/>
    <w:rsid w:val="00564541"/>
    <w:rsid w:val="00564AAE"/>
    <w:rsid w:val="00565278"/>
    <w:rsid w:val="0056541F"/>
    <w:rsid w:val="005657C5"/>
    <w:rsid w:val="0056607F"/>
    <w:rsid w:val="00566311"/>
    <w:rsid w:val="0056758C"/>
    <w:rsid w:val="00570039"/>
    <w:rsid w:val="0057083E"/>
    <w:rsid w:val="00570DB4"/>
    <w:rsid w:val="0057203F"/>
    <w:rsid w:val="00572A87"/>
    <w:rsid w:val="00572F02"/>
    <w:rsid w:val="0057402D"/>
    <w:rsid w:val="005740D0"/>
    <w:rsid w:val="00574970"/>
    <w:rsid w:val="00576056"/>
    <w:rsid w:val="00576CA6"/>
    <w:rsid w:val="00581BC2"/>
    <w:rsid w:val="00585283"/>
    <w:rsid w:val="005860FA"/>
    <w:rsid w:val="005867E0"/>
    <w:rsid w:val="00586F17"/>
    <w:rsid w:val="005906C8"/>
    <w:rsid w:val="00590B46"/>
    <w:rsid w:val="0059103F"/>
    <w:rsid w:val="0059494E"/>
    <w:rsid w:val="005955CD"/>
    <w:rsid w:val="00596FA9"/>
    <w:rsid w:val="005A05C8"/>
    <w:rsid w:val="005A0C2F"/>
    <w:rsid w:val="005A0C42"/>
    <w:rsid w:val="005A1A7D"/>
    <w:rsid w:val="005A21AA"/>
    <w:rsid w:val="005A2731"/>
    <w:rsid w:val="005A38F8"/>
    <w:rsid w:val="005A437F"/>
    <w:rsid w:val="005A44ED"/>
    <w:rsid w:val="005A557B"/>
    <w:rsid w:val="005A5856"/>
    <w:rsid w:val="005A63CA"/>
    <w:rsid w:val="005A69AE"/>
    <w:rsid w:val="005A6D2A"/>
    <w:rsid w:val="005A753D"/>
    <w:rsid w:val="005A7579"/>
    <w:rsid w:val="005B0F9F"/>
    <w:rsid w:val="005B124F"/>
    <w:rsid w:val="005B13F3"/>
    <w:rsid w:val="005B1D08"/>
    <w:rsid w:val="005B2600"/>
    <w:rsid w:val="005B299E"/>
    <w:rsid w:val="005B2D6C"/>
    <w:rsid w:val="005B4171"/>
    <w:rsid w:val="005B41B9"/>
    <w:rsid w:val="005B56A1"/>
    <w:rsid w:val="005B5C42"/>
    <w:rsid w:val="005C345E"/>
    <w:rsid w:val="005C4489"/>
    <w:rsid w:val="005C51AA"/>
    <w:rsid w:val="005C5A0D"/>
    <w:rsid w:val="005C78BA"/>
    <w:rsid w:val="005D069E"/>
    <w:rsid w:val="005D076D"/>
    <w:rsid w:val="005D0DA7"/>
    <w:rsid w:val="005D2C5A"/>
    <w:rsid w:val="005D3A15"/>
    <w:rsid w:val="005D414F"/>
    <w:rsid w:val="005D4192"/>
    <w:rsid w:val="005D4A20"/>
    <w:rsid w:val="005D6958"/>
    <w:rsid w:val="005D6B39"/>
    <w:rsid w:val="005D6E6F"/>
    <w:rsid w:val="005E0F63"/>
    <w:rsid w:val="005E3167"/>
    <w:rsid w:val="005E40D4"/>
    <w:rsid w:val="005E43E6"/>
    <w:rsid w:val="005E4DA1"/>
    <w:rsid w:val="005E4E6D"/>
    <w:rsid w:val="005E5DB2"/>
    <w:rsid w:val="005F2CB7"/>
    <w:rsid w:val="005F2CC2"/>
    <w:rsid w:val="005F49A8"/>
    <w:rsid w:val="005F4EBF"/>
    <w:rsid w:val="005F6962"/>
    <w:rsid w:val="005F7880"/>
    <w:rsid w:val="00600DA1"/>
    <w:rsid w:val="00601536"/>
    <w:rsid w:val="006020BE"/>
    <w:rsid w:val="0060244A"/>
    <w:rsid w:val="0060261E"/>
    <w:rsid w:val="0060284A"/>
    <w:rsid w:val="00603432"/>
    <w:rsid w:val="00603690"/>
    <w:rsid w:val="00604F8F"/>
    <w:rsid w:val="00604FB3"/>
    <w:rsid w:val="006067A8"/>
    <w:rsid w:val="006072D8"/>
    <w:rsid w:val="00607A69"/>
    <w:rsid w:val="00610203"/>
    <w:rsid w:val="00611E75"/>
    <w:rsid w:val="006121C6"/>
    <w:rsid w:val="00612C55"/>
    <w:rsid w:val="00612E64"/>
    <w:rsid w:val="00614271"/>
    <w:rsid w:val="006155DC"/>
    <w:rsid w:val="00615C4C"/>
    <w:rsid w:val="00616BB1"/>
    <w:rsid w:val="00617909"/>
    <w:rsid w:val="00617F7F"/>
    <w:rsid w:val="006203A4"/>
    <w:rsid w:val="00620890"/>
    <w:rsid w:val="006218B2"/>
    <w:rsid w:val="00621B04"/>
    <w:rsid w:val="00621C30"/>
    <w:rsid w:val="00622116"/>
    <w:rsid w:val="00622DE2"/>
    <w:rsid w:val="00626857"/>
    <w:rsid w:val="00627220"/>
    <w:rsid w:val="00627776"/>
    <w:rsid w:val="00630604"/>
    <w:rsid w:val="00632748"/>
    <w:rsid w:val="00634117"/>
    <w:rsid w:val="00634827"/>
    <w:rsid w:val="00636512"/>
    <w:rsid w:val="00636E05"/>
    <w:rsid w:val="00637048"/>
    <w:rsid w:val="006371D9"/>
    <w:rsid w:val="00641165"/>
    <w:rsid w:val="006412AF"/>
    <w:rsid w:val="00641EA4"/>
    <w:rsid w:val="0064321B"/>
    <w:rsid w:val="00643C69"/>
    <w:rsid w:val="00645BBB"/>
    <w:rsid w:val="006460AA"/>
    <w:rsid w:val="00646919"/>
    <w:rsid w:val="00646A95"/>
    <w:rsid w:val="00650DCC"/>
    <w:rsid w:val="00651388"/>
    <w:rsid w:val="00652E2B"/>
    <w:rsid w:val="006531AB"/>
    <w:rsid w:val="0065325D"/>
    <w:rsid w:val="00654786"/>
    <w:rsid w:val="00657579"/>
    <w:rsid w:val="00663139"/>
    <w:rsid w:val="00663BFD"/>
    <w:rsid w:val="00666002"/>
    <w:rsid w:val="00666B78"/>
    <w:rsid w:val="006677E2"/>
    <w:rsid w:val="006708A6"/>
    <w:rsid w:val="00670C81"/>
    <w:rsid w:val="00673BCE"/>
    <w:rsid w:val="00674A10"/>
    <w:rsid w:val="00674F6E"/>
    <w:rsid w:val="0067509B"/>
    <w:rsid w:val="0067574B"/>
    <w:rsid w:val="006757C8"/>
    <w:rsid w:val="00675E02"/>
    <w:rsid w:val="0067611A"/>
    <w:rsid w:val="0067628E"/>
    <w:rsid w:val="006765C1"/>
    <w:rsid w:val="0067772E"/>
    <w:rsid w:val="00680523"/>
    <w:rsid w:val="00680EC2"/>
    <w:rsid w:val="006810D0"/>
    <w:rsid w:val="00681BEA"/>
    <w:rsid w:val="00682AE4"/>
    <w:rsid w:val="00683D67"/>
    <w:rsid w:val="006865D4"/>
    <w:rsid w:val="00687AAB"/>
    <w:rsid w:val="00687BB1"/>
    <w:rsid w:val="00690AA3"/>
    <w:rsid w:val="0069639A"/>
    <w:rsid w:val="0069779D"/>
    <w:rsid w:val="006A0D33"/>
    <w:rsid w:val="006A115C"/>
    <w:rsid w:val="006A11B9"/>
    <w:rsid w:val="006A1528"/>
    <w:rsid w:val="006A16CE"/>
    <w:rsid w:val="006A243C"/>
    <w:rsid w:val="006A253E"/>
    <w:rsid w:val="006A2B84"/>
    <w:rsid w:val="006A3EAC"/>
    <w:rsid w:val="006A402C"/>
    <w:rsid w:val="006A4E7F"/>
    <w:rsid w:val="006A526B"/>
    <w:rsid w:val="006A742D"/>
    <w:rsid w:val="006A7E5F"/>
    <w:rsid w:val="006B0A04"/>
    <w:rsid w:val="006B1186"/>
    <w:rsid w:val="006B175C"/>
    <w:rsid w:val="006B1ECC"/>
    <w:rsid w:val="006B4F6A"/>
    <w:rsid w:val="006B5F09"/>
    <w:rsid w:val="006C0652"/>
    <w:rsid w:val="006C12BD"/>
    <w:rsid w:val="006C2603"/>
    <w:rsid w:val="006C2CE3"/>
    <w:rsid w:val="006C31F8"/>
    <w:rsid w:val="006C544A"/>
    <w:rsid w:val="006C67ED"/>
    <w:rsid w:val="006C7155"/>
    <w:rsid w:val="006C72F0"/>
    <w:rsid w:val="006C7BE9"/>
    <w:rsid w:val="006D0B4E"/>
    <w:rsid w:val="006D1F21"/>
    <w:rsid w:val="006D1FB3"/>
    <w:rsid w:val="006D3437"/>
    <w:rsid w:val="006D46CF"/>
    <w:rsid w:val="006D4A2A"/>
    <w:rsid w:val="006D5C2B"/>
    <w:rsid w:val="006D5F10"/>
    <w:rsid w:val="006E0493"/>
    <w:rsid w:val="006E071B"/>
    <w:rsid w:val="006E1BA4"/>
    <w:rsid w:val="006E2A1C"/>
    <w:rsid w:val="006E34D1"/>
    <w:rsid w:val="006E3896"/>
    <w:rsid w:val="006E399F"/>
    <w:rsid w:val="006E4FA9"/>
    <w:rsid w:val="006E7531"/>
    <w:rsid w:val="006E7957"/>
    <w:rsid w:val="006F08A9"/>
    <w:rsid w:val="006F0E4F"/>
    <w:rsid w:val="006F193F"/>
    <w:rsid w:val="006F1F3E"/>
    <w:rsid w:val="006F2FB2"/>
    <w:rsid w:val="006F322E"/>
    <w:rsid w:val="006F5347"/>
    <w:rsid w:val="006F61E0"/>
    <w:rsid w:val="00700271"/>
    <w:rsid w:val="007013ED"/>
    <w:rsid w:val="00701FD5"/>
    <w:rsid w:val="00701FD6"/>
    <w:rsid w:val="007029D1"/>
    <w:rsid w:val="00703203"/>
    <w:rsid w:val="00704C9A"/>
    <w:rsid w:val="00706D1E"/>
    <w:rsid w:val="00707BC1"/>
    <w:rsid w:val="00707F11"/>
    <w:rsid w:val="00710364"/>
    <w:rsid w:val="00710993"/>
    <w:rsid w:val="00710DCD"/>
    <w:rsid w:val="007113A8"/>
    <w:rsid w:val="007125F2"/>
    <w:rsid w:val="0071413E"/>
    <w:rsid w:val="007147E8"/>
    <w:rsid w:val="00715494"/>
    <w:rsid w:val="00715CB1"/>
    <w:rsid w:val="007175AB"/>
    <w:rsid w:val="00720656"/>
    <w:rsid w:val="007208CD"/>
    <w:rsid w:val="0072133E"/>
    <w:rsid w:val="0072151D"/>
    <w:rsid w:val="00721E88"/>
    <w:rsid w:val="00722693"/>
    <w:rsid w:val="00722A13"/>
    <w:rsid w:val="00724427"/>
    <w:rsid w:val="0072727F"/>
    <w:rsid w:val="00731232"/>
    <w:rsid w:val="007322AE"/>
    <w:rsid w:val="0073271A"/>
    <w:rsid w:val="00733136"/>
    <w:rsid w:val="00733F0A"/>
    <w:rsid w:val="00734695"/>
    <w:rsid w:val="00737321"/>
    <w:rsid w:val="00737418"/>
    <w:rsid w:val="00741DD5"/>
    <w:rsid w:val="00743017"/>
    <w:rsid w:val="00743564"/>
    <w:rsid w:val="00744188"/>
    <w:rsid w:val="007447F1"/>
    <w:rsid w:val="007478D2"/>
    <w:rsid w:val="00747A3A"/>
    <w:rsid w:val="00750B16"/>
    <w:rsid w:val="0075280C"/>
    <w:rsid w:val="00754FF6"/>
    <w:rsid w:val="00757194"/>
    <w:rsid w:val="00757CA0"/>
    <w:rsid w:val="00761AD4"/>
    <w:rsid w:val="00762F4F"/>
    <w:rsid w:val="00762F85"/>
    <w:rsid w:val="0076440E"/>
    <w:rsid w:val="0077063B"/>
    <w:rsid w:val="00770872"/>
    <w:rsid w:val="0077165A"/>
    <w:rsid w:val="00771D09"/>
    <w:rsid w:val="00772B20"/>
    <w:rsid w:val="00772E19"/>
    <w:rsid w:val="007732DB"/>
    <w:rsid w:val="007734E5"/>
    <w:rsid w:val="007736A2"/>
    <w:rsid w:val="00776A7C"/>
    <w:rsid w:val="00776C1E"/>
    <w:rsid w:val="00776DEF"/>
    <w:rsid w:val="00777A19"/>
    <w:rsid w:val="00777B29"/>
    <w:rsid w:val="007800E2"/>
    <w:rsid w:val="00780347"/>
    <w:rsid w:val="007813F3"/>
    <w:rsid w:val="00782A18"/>
    <w:rsid w:val="00783A42"/>
    <w:rsid w:val="00784683"/>
    <w:rsid w:val="007848B7"/>
    <w:rsid w:val="0078606B"/>
    <w:rsid w:val="00787C7C"/>
    <w:rsid w:val="00790292"/>
    <w:rsid w:val="007902EF"/>
    <w:rsid w:val="00790310"/>
    <w:rsid w:val="007929DD"/>
    <w:rsid w:val="00793119"/>
    <w:rsid w:val="0079417C"/>
    <w:rsid w:val="00795932"/>
    <w:rsid w:val="00796526"/>
    <w:rsid w:val="007A0C6A"/>
    <w:rsid w:val="007A0F24"/>
    <w:rsid w:val="007A1713"/>
    <w:rsid w:val="007A2DA4"/>
    <w:rsid w:val="007A33DB"/>
    <w:rsid w:val="007A43DF"/>
    <w:rsid w:val="007A4988"/>
    <w:rsid w:val="007A5D93"/>
    <w:rsid w:val="007A6971"/>
    <w:rsid w:val="007A712C"/>
    <w:rsid w:val="007A7663"/>
    <w:rsid w:val="007B057F"/>
    <w:rsid w:val="007B13A9"/>
    <w:rsid w:val="007B1AEE"/>
    <w:rsid w:val="007B2293"/>
    <w:rsid w:val="007B44C2"/>
    <w:rsid w:val="007B7321"/>
    <w:rsid w:val="007B75D7"/>
    <w:rsid w:val="007C03DC"/>
    <w:rsid w:val="007C06F2"/>
    <w:rsid w:val="007C0927"/>
    <w:rsid w:val="007C2080"/>
    <w:rsid w:val="007C2AB4"/>
    <w:rsid w:val="007C3BA2"/>
    <w:rsid w:val="007C45DC"/>
    <w:rsid w:val="007C4F8A"/>
    <w:rsid w:val="007C57D4"/>
    <w:rsid w:val="007C7F4B"/>
    <w:rsid w:val="007D133B"/>
    <w:rsid w:val="007D1524"/>
    <w:rsid w:val="007D193A"/>
    <w:rsid w:val="007D2394"/>
    <w:rsid w:val="007D2637"/>
    <w:rsid w:val="007D2797"/>
    <w:rsid w:val="007D2F33"/>
    <w:rsid w:val="007D342D"/>
    <w:rsid w:val="007D3E10"/>
    <w:rsid w:val="007D4B8A"/>
    <w:rsid w:val="007D5BA1"/>
    <w:rsid w:val="007D6559"/>
    <w:rsid w:val="007E05EE"/>
    <w:rsid w:val="007E05F9"/>
    <w:rsid w:val="007E0714"/>
    <w:rsid w:val="007E1149"/>
    <w:rsid w:val="007E3750"/>
    <w:rsid w:val="007E51C3"/>
    <w:rsid w:val="007E5E05"/>
    <w:rsid w:val="007F2C38"/>
    <w:rsid w:val="007F3BAF"/>
    <w:rsid w:val="007F3C28"/>
    <w:rsid w:val="007F610C"/>
    <w:rsid w:val="00800E09"/>
    <w:rsid w:val="00801949"/>
    <w:rsid w:val="00801EBC"/>
    <w:rsid w:val="00803039"/>
    <w:rsid w:val="00806B11"/>
    <w:rsid w:val="00806FF1"/>
    <w:rsid w:val="00807CDB"/>
    <w:rsid w:val="008102AA"/>
    <w:rsid w:val="00810985"/>
    <w:rsid w:val="00811488"/>
    <w:rsid w:val="00811B0B"/>
    <w:rsid w:val="0081303D"/>
    <w:rsid w:val="0081354C"/>
    <w:rsid w:val="00814FE3"/>
    <w:rsid w:val="00820573"/>
    <w:rsid w:val="008208FD"/>
    <w:rsid w:val="008227AE"/>
    <w:rsid w:val="00823432"/>
    <w:rsid w:val="00824BD4"/>
    <w:rsid w:val="00825BD5"/>
    <w:rsid w:val="00826DF5"/>
    <w:rsid w:val="008270B1"/>
    <w:rsid w:val="00830354"/>
    <w:rsid w:val="00831540"/>
    <w:rsid w:val="00832D9A"/>
    <w:rsid w:val="00833ACD"/>
    <w:rsid w:val="00833E6F"/>
    <w:rsid w:val="00834D96"/>
    <w:rsid w:val="0083514D"/>
    <w:rsid w:val="00837600"/>
    <w:rsid w:val="008400BB"/>
    <w:rsid w:val="00847593"/>
    <w:rsid w:val="008479BA"/>
    <w:rsid w:val="0085396D"/>
    <w:rsid w:val="00854625"/>
    <w:rsid w:val="00856E25"/>
    <w:rsid w:val="00860272"/>
    <w:rsid w:val="00860E1C"/>
    <w:rsid w:val="008610B8"/>
    <w:rsid w:val="0086163E"/>
    <w:rsid w:val="00867968"/>
    <w:rsid w:val="0087014A"/>
    <w:rsid w:val="00870F6A"/>
    <w:rsid w:val="00871A57"/>
    <w:rsid w:val="008728B1"/>
    <w:rsid w:val="00872F22"/>
    <w:rsid w:val="00873B1F"/>
    <w:rsid w:val="008744E1"/>
    <w:rsid w:val="00875C14"/>
    <w:rsid w:val="00876DAA"/>
    <w:rsid w:val="0087706B"/>
    <w:rsid w:val="008808B2"/>
    <w:rsid w:val="0088093B"/>
    <w:rsid w:val="00882A68"/>
    <w:rsid w:val="00882F58"/>
    <w:rsid w:val="0088391A"/>
    <w:rsid w:val="0088442E"/>
    <w:rsid w:val="00885519"/>
    <w:rsid w:val="00887229"/>
    <w:rsid w:val="0088737D"/>
    <w:rsid w:val="00891092"/>
    <w:rsid w:val="00891E75"/>
    <w:rsid w:val="00894874"/>
    <w:rsid w:val="00894D14"/>
    <w:rsid w:val="0089734E"/>
    <w:rsid w:val="008979C4"/>
    <w:rsid w:val="008A0138"/>
    <w:rsid w:val="008A3A73"/>
    <w:rsid w:val="008A4074"/>
    <w:rsid w:val="008A4809"/>
    <w:rsid w:val="008A6FA7"/>
    <w:rsid w:val="008A73AF"/>
    <w:rsid w:val="008A7709"/>
    <w:rsid w:val="008B0A23"/>
    <w:rsid w:val="008B18F2"/>
    <w:rsid w:val="008B1968"/>
    <w:rsid w:val="008B27F2"/>
    <w:rsid w:val="008B39C7"/>
    <w:rsid w:val="008B5346"/>
    <w:rsid w:val="008B5E73"/>
    <w:rsid w:val="008C2908"/>
    <w:rsid w:val="008C37B9"/>
    <w:rsid w:val="008C3B64"/>
    <w:rsid w:val="008C4B84"/>
    <w:rsid w:val="008C57DD"/>
    <w:rsid w:val="008C71D4"/>
    <w:rsid w:val="008C74A9"/>
    <w:rsid w:val="008C7B54"/>
    <w:rsid w:val="008D2A32"/>
    <w:rsid w:val="008D46A0"/>
    <w:rsid w:val="008D581C"/>
    <w:rsid w:val="008D63FE"/>
    <w:rsid w:val="008D7256"/>
    <w:rsid w:val="008D77E1"/>
    <w:rsid w:val="008D77FA"/>
    <w:rsid w:val="008E0B87"/>
    <w:rsid w:val="008E0CBC"/>
    <w:rsid w:val="008E1D07"/>
    <w:rsid w:val="008E1F85"/>
    <w:rsid w:val="008E2499"/>
    <w:rsid w:val="008E3490"/>
    <w:rsid w:val="008E537D"/>
    <w:rsid w:val="008E56A3"/>
    <w:rsid w:val="008E613E"/>
    <w:rsid w:val="008E70C7"/>
    <w:rsid w:val="008F0D0F"/>
    <w:rsid w:val="008F10CB"/>
    <w:rsid w:val="008F124C"/>
    <w:rsid w:val="008F1A6E"/>
    <w:rsid w:val="008F2A6D"/>
    <w:rsid w:val="008F3838"/>
    <w:rsid w:val="008F404A"/>
    <w:rsid w:val="008F4B03"/>
    <w:rsid w:val="008F4C26"/>
    <w:rsid w:val="008F656C"/>
    <w:rsid w:val="008F69F6"/>
    <w:rsid w:val="008F7919"/>
    <w:rsid w:val="008F7B15"/>
    <w:rsid w:val="009011CF"/>
    <w:rsid w:val="00901B27"/>
    <w:rsid w:val="009036F8"/>
    <w:rsid w:val="0090414C"/>
    <w:rsid w:val="00904D28"/>
    <w:rsid w:val="00907710"/>
    <w:rsid w:val="009120BD"/>
    <w:rsid w:val="00914651"/>
    <w:rsid w:val="0091478D"/>
    <w:rsid w:val="00915C96"/>
    <w:rsid w:val="00915DB3"/>
    <w:rsid w:val="00916A37"/>
    <w:rsid w:val="009230E1"/>
    <w:rsid w:val="009236DB"/>
    <w:rsid w:val="00924359"/>
    <w:rsid w:val="00926075"/>
    <w:rsid w:val="00927262"/>
    <w:rsid w:val="00927708"/>
    <w:rsid w:val="009304B6"/>
    <w:rsid w:val="00930AD3"/>
    <w:rsid w:val="00931129"/>
    <w:rsid w:val="00931961"/>
    <w:rsid w:val="00932941"/>
    <w:rsid w:val="00934188"/>
    <w:rsid w:val="00934451"/>
    <w:rsid w:val="009352F7"/>
    <w:rsid w:val="00936AE5"/>
    <w:rsid w:val="00936B3A"/>
    <w:rsid w:val="00936DA8"/>
    <w:rsid w:val="00937021"/>
    <w:rsid w:val="00940158"/>
    <w:rsid w:val="00940820"/>
    <w:rsid w:val="009433D8"/>
    <w:rsid w:val="009444DD"/>
    <w:rsid w:val="009455DB"/>
    <w:rsid w:val="009457E5"/>
    <w:rsid w:val="009474FC"/>
    <w:rsid w:val="0095024F"/>
    <w:rsid w:val="00951A3A"/>
    <w:rsid w:val="00952B22"/>
    <w:rsid w:val="00953CD3"/>
    <w:rsid w:val="00953FB5"/>
    <w:rsid w:val="00954835"/>
    <w:rsid w:val="00954977"/>
    <w:rsid w:val="00954FBF"/>
    <w:rsid w:val="0095685A"/>
    <w:rsid w:val="009606F3"/>
    <w:rsid w:val="00960A6C"/>
    <w:rsid w:val="00960B0F"/>
    <w:rsid w:val="00962330"/>
    <w:rsid w:val="00962705"/>
    <w:rsid w:val="009629D6"/>
    <w:rsid w:val="00962F7F"/>
    <w:rsid w:val="0096300C"/>
    <w:rsid w:val="009643AF"/>
    <w:rsid w:val="00965196"/>
    <w:rsid w:val="009655F9"/>
    <w:rsid w:val="00965684"/>
    <w:rsid w:val="00965B1D"/>
    <w:rsid w:val="00965B2B"/>
    <w:rsid w:val="0096764B"/>
    <w:rsid w:val="00971B5F"/>
    <w:rsid w:val="00972E04"/>
    <w:rsid w:val="009753F1"/>
    <w:rsid w:val="00975DBE"/>
    <w:rsid w:val="00976013"/>
    <w:rsid w:val="00980601"/>
    <w:rsid w:val="00981818"/>
    <w:rsid w:val="00981BF3"/>
    <w:rsid w:val="00982EE0"/>
    <w:rsid w:val="00985246"/>
    <w:rsid w:val="009852AE"/>
    <w:rsid w:val="00985830"/>
    <w:rsid w:val="009864B3"/>
    <w:rsid w:val="009868D9"/>
    <w:rsid w:val="00986C2F"/>
    <w:rsid w:val="00986F07"/>
    <w:rsid w:val="0099008F"/>
    <w:rsid w:val="0099022B"/>
    <w:rsid w:val="00990D9F"/>
    <w:rsid w:val="00991543"/>
    <w:rsid w:val="009916FF"/>
    <w:rsid w:val="00991A71"/>
    <w:rsid w:val="00991BA8"/>
    <w:rsid w:val="00993652"/>
    <w:rsid w:val="00995F03"/>
    <w:rsid w:val="00996417"/>
    <w:rsid w:val="009968A1"/>
    <w:rsid w:val="00996CE4"/>
    <w:rsid w:val="009970F4"/>
    <w:rsid w:val="009A07EA"/>
    <w:rsid w:val="009A113D"/>
    <w:rsid w:val="009A121D"/>
    <w:rsid w:val="009A2BE2"/>
    <w:rsid w:val="009A2C64"/>
    <w:rsid w:val="009A4413"/>
    <w:rsid w:val="009A5196"/>
    <w:rsid w:val="009A63F3"/>
    <w:rsid w:val="009B0A3E"/>
    <w:rsid w:val="009B3978"/>
    <w:rsid w:val="009B742A"/>
    <w:rsid w:val="009C010D"/>
    <w:rsid w:val="009C0B2F"/>
    <w:rsid w:val="009C0BDA"/>
    <w:rsid w:val="009C2FAF"/>
    <w:rsid w:val="009C3459"/>
    <w:rsid w:val="009C542E"/>
    <w:rsid w:val="009C6625"/>
    <w:rsid w:val="009C6B11"/>
    <w:rsid w:val="009D0EA8"/>
    <w:rsid w:val="009D150C"/>
    <w:rsid w:val="009D3201"/>
    <w:rsid w:val="009D3328"/>
    <w:rsid w:val="009D3B00"/>
    <w:rsid w:val="009D43AB"/>
    <w:rsid w:val="009D581F"/>
    <w:rsid w:val="009D584A"/>
    <w:rsid w:val="009E0BBB"/>
    <w:rsid w:val="009E11E2"/>
    <w:rsid w:val="009E1EA5"/>
    <w:rsid w:val="009E526C"/>
    <w:rsid w:val="009E595C"/>
    <w:rsid w:val="009F0171"/>
    <w:rsid w:val="009F09A1"/>
    <w:rsid w:val="009F150F"/>
    <w:rsid w:val="009F16A5"/>
    <w:rsid w:val="009F1AAD"/>
    <w:rsid w:val="009F3D68"/>
    <w:rsid w:val="009F3E5D"/>
    <w:rsid w:val="009F4CCA"/>
    <w:rsid w:val="009F54B2"/>
    <w:rsid w:val="009F5739"/>
    <w:rsid w:val="009F6049"/>
    <w:rsid w:val="009F734B"/>
    <w:rsid w:val="00A01413"/>
    <w:rsid w:val="00A0172E"/>
    <w:rsid w:val="00A02CCA"/>
    <w:rsid w:val="00A034C2"/>
    <w:rsid w:val="00A05365"/>
    <w:rsid w:val="00A059FD"/>
    <w:rsid w:val="00A062D4"/>
    <w:rsid w:val="00A06E31"/>
    <w:rsid w:val="00A07268"/>
    <w:rsid w:val="00A0790E"/>
    <w:rsid w:val="00A10535"/>
    <w:rsid w:val="00A118F5"/>
    <w:rsid w:val="00A11BEC"/>
    <w:rsid w:val="00A11D96"/>
    <w:rsid w:val="00A1267B"/>
    <w:rsid w:val="00A127F8"/>
    <w:rsid w:val="00A13063"/>
    <w:rsid w:val="00A14F25"/>
    <w:rsid w:val="00A16B54"/>
    <w:rsid w:val="00A212CD"/>
    <w:rsid w:val="00A24EBD"/>
    <w:rsid w:val="00A26C63"/>
    <w:rsid w:val="00A278FF"/>
    <w:rsid w:val="00A3076C"/>
    <w:rsid w:val="00A310AD"/>
    <w:rsid w:val="00A31BFC"/>
    <w:rsid w:val="00A32E23"/>
    <w:rsid w:val="00A33487"/>
    <w:rsid w:val="00A37378"/>
    <w:rsid w:val="00A37CBE"/>
    <w:rsid w:val="00A41424"/>
    <w:rsid w:val="00A442E4"/>
    <w:rsid w:val="00A45077"/>
    <w:rsid w:val="00A46CED"/>
    <w:rsid w:val="00A51819"/>
    <w:rsid w:val="00A53352"/>
    <w:rsid w:val="00A5472A"/>
    <w:rsid w:val="00A54FF0"/>
    <w:rsid w:val="00A55C05"/>
    <w:rsid w:val="00A55E88"/>
    <w:rsid w:val="00A60C3F"/>
    <w:rsid w:val="00A61708"/>
    <w:rsid w:val="00A6196D"/>
    <w:rsid w:val="00A61FD6"/>
    <w:rsid w:val="00A638F1"/>
    <w:rsid w:val="00A64DA6"/>
    <w:rsid w:val="00A66004"/>
    <w:rsid w:val="00A663A2"/>
    <w:rsid w:val="00A66E89"/>
    <w:rsid w:val="00A67028"/>
    <w:rsid w:val="00A7293D"/>
    <w:rsid w:val="00A7567E"/>
    <w:rsid w:val="00A7694D"/>
    <w:rsid w:val="00A80110"/>
    <w:rsid w:val="00A811C2"/>
    <w:rsid w:val="00A8150E"/>
    <w:rsid w:val="00A83B18"/>
    <w:rsid w:val="00A83FEE"/>
    <w:rsid w:val="00A8446A"/>
    <w:rsid w:val="00A849F0"/>
    <w:rsid w:val="00A85DC4"/>
    <w:rsid w:val="00A8701B"/>
    <w:rsid w:val="00A902F7"/>
    <w:rsid w:val="00A916FB"/>
    <w:rsid w:val="00A9195F"/>
    <w:rsid w:val="00A91F08"/>
    <w:rsid w:val="00A92B11"/>
    <w:rsid w:val="00A92B4B"/>
    <w:rsid w:val="00A95BAC"/>
    <w:rsid w:val="00A970AE"/>
    <w:rsid w:val="00A97C46"/>
    <w:rsid w:val="00AA007D"/>
    <w:rsid w:val="00AA0113"/>
    <w:rsid w:val="00AA01D1"/>
    <w:rsid w:val="00AA021F"/>
    <w:rsid w:val="00AA0D03"/>
    <w:rsid w:val="00AA1168"/>
    <w:rsid w:val="00AA11DD"/>
    <w:rsid w:val="00AA245A"/>
    <w:rsid w:val="00AA2687"/>
    <w:rsid w:val="00AA27A2"/>
    <w:rsid w:val="00AA3330"/>
    <w:rsid w:val="00AA3A71"/>
    <w:rsid w:val="00AA4245"/>
    <w:rsid w:val="00AA4714"/>
    <w:rsid w:val="00AA4974"/>
    <w:rsid w:val="00AB001E"/>
    <w:rsid w:val="00AB1597"/>
    <w:rsid w:val="00AB4761"/>
    <w:rsid w:val="00AB4867"/>
    <w:rsid w:val="00AB5563"/>
    <w:rsid w:val="00AB5CE8"/>
    <w:rsid w:val="00AB668A"/>
    <w:rsid w:val="00AB6CB4"/>
    <w:rsid w:val="00AC1965"/>
    <w:rsid w:val="00AC1E32"/>
    <w:rsid w:val="00AC336C"/>
    <w:rsid w:val="00AC5243"/>
    <w:rsid w:val="00AC5DE1"/>
    <w:rsid w:val="00AC5E94"/>
    <w:rsid w:val="00AC756E"/>
    <w:rsid w:val="00AC7808"/>
    <w:rsid w:val="00AD09F0"/>
    <w:rsid w:val="00AD0CC9"/>
    <w:rsid w:val="00AD2F25"/>
    <w:rsid w:val="00AD315A"/>
    <w:rsid w:val="00AD3438"/>
    <w:rsid w:val="00AD3AF4"/>
    <w:rsid w:val="00AD48C9"/>
    <w:rsid w:val="00AD4EC2"/>
    <w:rsid w:val="00AD6545"/>
    <w:rsid w:val="00AD689D"/>
    <w:rsid w:val="00AD6B25"/>
    <w:rsid w:val="00AE0230"/>
    <w:rsid w:val="00AE3921"/>
    <w:rsid w:val="00AE3C82"/>
    <w:rsid w:val="00AE3F67"/>
    <w:rsid w:val="00AF1412"/>
    <w:rsid w:val="00AF3EAB"/>
    <w:rsid w:val="00AF522D"/>
    <w:rsid w:val="00AF5701"/>
    <w:rsid w:val="00AF58DB"/>
    <w:rsid w:val="00AF594F"/>
    <w:rsid w:val="00AF5A24"/>
    <w:rsid w:val="00AF5CAE"/>
    <w:rsid w:val="00AF6252"/>
    <w:rsid w:val="00AF72B9"/>
    <w:rsid w:val="00AF7431"/>
    <w:rsid w:val="00B00188"/>
    <w:rsid w:val="00B0319D"/>
    <w:rsid w:val="00B0361C"/>
    <w:rsid w:val="00B04175"/>
    <w:rsid w:val="00B04AE7"/>
    <w:rsid w:val="00B04D07"/>
    <w:rsid w:val="00B05647"/>
    <w:rsid w:val="00B05E2B"/>
    <w:rsid w:val="00B0720C"/>
    <w:rsid w:val="00B07B2E"/>
    <w:rsid w:val="00B12AF2"/>
    <w:rsid w:val="00B1460F"/>
    <w:rsid w:val="00B15306"/>
    <w:rsid w:val="00B16F4A"/>
    <w:rsid w:val="00B20A27"/>
    <w:rsid w:val="00B218A4"/>
    <w:rsid w:val="00B2333C"/>
    <w:rsid w:val="00B23481"/>
    <w:rsid w:val="00B23637"/>
    <w:rsid w:val="00B258DF"/>
    <w:rsid w:val="00B25F7D"/>
    <w:rsid w:val="00B26222"/>
    <w:rsid w:val="00B27652"/>
    <w:rsid w:val="00B30475"/>
    <w:rsid w:val="00B3259D"/>
    <w:rsid w:val="00B328B0"/>
    <w:rsid w:val="00B32A9D"/>
    <w:rsid w:val="00B3421D"/>
    <w:rsid w:val="00B343A5"/>
    <w:rsid w:val="00B347C9"/>
    <w:rsid w:val="00B35729"/>
    <w:rsid w:val="00B35D5E"/>
    <w:rsid w:val="00B36608"/>
    <w:rsid w:val="00B36CBD"/>
    <w:rsid w:val="00B3728F"/>
    <w:rsid w:val="00B37DBC"/>
    <w:rsid w:val="00B37F91"/>
    <w:rsid w:val="00B44196"/>
    <w:rsid w:val="00B44799"/>
    <w:rsid w:val="00B44BBF"/>
    <w:rsid w:val="00B45672"/>
    <w:rsid w:val="00B45C35"/>
    <w:rsid w:val="00B4625B"/>
    <w:rsid w:val="00B468FB"/>
    <w:rsid w:val="00B46E9C"/>
    <w:rsid w:val="00B50E29"/>
    <w:rsid w:val="00B52A97"/>
    <w:rsid w:val="00B56910"/>
    <w:rsid w:val="00B57276"/>
    <w:rsid w:val="00B572E0"/>
    <w:rsid w:val="00B607F7"/>
    <w:rsid w:val="00B60A24"/>
    <w:rsid w:val="00B61F00"/>
    <w:rsid w:val="00B63021"/>
    <w:rsid w:val="00B64465"/>
    <w:rsid w:val="00B67A50"/>
    <w:rsid w:val="00B70363"/>
    <w:rsid w:val="00B720F3"/>
    <w:rsid w:val="00B72978"/>
    <w:rsid w:val="00B7447B"/>
    <w:rsid w:val="00B764A0"/>
    <w:rsid w:val="00B77989"/>
    <w:rsid w:val="00B80214"/>
    <w:rsid w:val="00B83A63"/>
    <w:rsid w:val="00B84587"/>
    <w:rsid w:val="00B84C6D"/>
    <w:rsid w:val="00B8574E"/>
    <w:rsid w:val="00B8645E"/>
    <w:rsid w:val="00B906CA"/>
    <w:rsid w:val="00B952A4"/>
    <w:rsid w:val="00B96ABD"/>
    <w:rsid w:val="00B97C18"/>
    <w:rsid w:val="00B97D8A"/>
    <w:rsid w:val="00BA391C"/>
    <w:rsid w:val="00BA466C"/>
    <w:rsid w:val="00BA4BC4"/>
    <w:rsid w:val="00BA4FA6"/>
    <w:rsid w:val="00BA5104"/>
    <w:rsid w:val="00BA6FF8"/>
    <w:rsid w:val="00BA78E8"/>
    <w:rsid w:val="00BA7A9E"/>
    <w:rsid w:val="00BA7CA1"/>
    <w:rsid w:val="00BB178B"/>
    <w:rsid w:val="00BB1DC1"/>
    <w:rsid w:val="00BB2584"/>
    <w:rsid w:val="00BB3115"/>
    <w:rsid w:val="00BB3120"/>
    <w:rsid w:val="00BB34F1"/>
    <w:rsid w:val="00BB37F0"/>
    <w:rsid w:val="00BB6033"/>
    <w:rsid w:val="00BB787F"/>
    <w:rsid w:val="00BC03CA"/>
    <w:rsid w:val="00BC0688"/>
    <w:rsid w:val="00BC0836"/>
    <w:rsid w:val="00BC0DE6"/>
    <w:rsid w:val="00BC100E"/>
    <w:rsid w:val="00BC11FC"/>
    <w:rsid w:val="00BC47D2"/>
    <w:rsid w:val="00BC6237"/>
    <w:rsid w:val="00BC75C6"/>
    <w:rsid w:val="00BC7AAA"/>
    <w:rsid w:val="00BD03DD"/>
    <w:rsid w:val="00BD17A2"/>
    <w:rsid w:val="00BD274D"/>
    <w:rsid w:val="00BD30C1"/>
    <w:rsid w:val="00BD43AA"/>
    <w:rsid w:val="00BD4670"/>
    <w:rsid w:val="00BD4B2C"/>
    <w:rsid w:val="00BD4E67"/>
    <w:rsid w:val="00BD5192"/>
    <w:rsid w:val="00BD538B"/>
    <w:rsid w:val="00BD578F"/>
    <w:rsid w:val="00BD7802"/>
    <w:rsid w:val="00BD7DC7"/>
    <w:rsid w:val="00BE1734"/>
    <w:rsid w:val="00BE1CAB"/>
    <w:rsid w:val="00BE361E"/>
    <w:rsid w:val="00BE396C"/>
    <w:rsid w:val="00BE7830"/>
    <w:rsid w:val="00BE78F3"/>
    <w:rsid w:val="00BF0F93"/>
    <w:rsid w:val="00BF293B"/>
    <w:rsid w:val="00BF353E"/>
    <w:rsid w:val="00BF3870"/>
    <w:rsid w:val="00BF4642"/>
    <w:rsid w:val="00BF4DAB"/>
    <w:rsid w:val="00BF5A22"/>
    <w:rsid w:val="00BF5E65"/>
    <w:rsid w:val="00BF73BD"/>
    <w:rsid w:val="00C00618"/>
    <w:rsid w:val="00C01A38"/>
    <w:rsid w:val="00C05D76"/>
    <w:rsid w:val="00C075B1"/>
    <w:rsid w:val="00C10DC8"/>
    <w:rsid w:val="00C13021"/>
    <w:rsid w:val="00C130A3"/>
    <w:rsid w:val="00C13B68"/>
    <w:rsid w:val="00C14383"/>
    <w:rsid w:val="00C1528E"/>
    <w:rsid w:val="00C16016"/>
    <w:rsid w:val="00C17AF3"/>
    <w:rsid w:val="00C20924"/>
    <w:rsid w:val="00C21933"/>
    <w:rsid w:val="00C21DB7"/>
    <w:rsid w:val="00C22623"/>
    <w:rsid w:val="00C22A5D"/>
    <w:rsid w:val="00C22AE7"/>
    <w:rsid w:val="00C22C26"/>
    <w:rsid w:val="00C2326F"/>
    <w:rsid w:val="00C24DAB"/>
    <w:rsid w:val="00C25386"/>
    <w:rsid w:val="00C272AE"/>
    <w:rsid w:val="00C2730C"/>
    <w:rsid w:val="00C27F88"/>
    <w:rsid w:val="00C30A5C"/>
    <w:rsid w:val="00C3323A"/>
    <w:rsid w:val="00C33EED"/>
    <w:rsid w:val="00C35022"/>
    <w:rsid w:val="00C36200"/>
    <w:rsid w:val="00C408DD"/>
    <w:rsid w:val="00C41C82"/>
    <w:rsid w:val="00C42262"/>
    <w:rsid w:val="00C432FF"/>
    <w:rsid w:val="00C43434"/>
    <w:rsid w:val="00C435CB"/>
    <w:rsid w:val="00C441EE"/>
    <w:rsid w:val="00C5097B"/>
    <w:rsid w:val="00C515A6"/>
    <w:rsid w:val="00C51A22"/>
    <w:rsid w:val="00C527E3"/>
    <w:rsid w:val="00C531E5"/>
    <w:rsid w:val="00C5332F"/>
    <w:rsid w:val="00C5483C"/>
    <w:rsid w:val="00C55CDC"/>
    <w:rsid w:val="00C567EB"/>
    <w:rsid w:val="00C56E0D"/>
    <w:rsid w:val="00C57D88"/>
    <w:rsid w:val="00C60E17"/>
    <w:rsid w:val="00C61508"/>
    <w:rsid w:val="00C6154D"/>
    <w:rsid w:val="00C61FA6"/>
    <w:rsid w:val="00C629A9"/>
    <w:rsid w:val="00C64B21"/>
    <w:rsid w:val="00C64D0F"/>
    <w:rsid w:val="00C667D0"/>
    <w:rsid w:val="00C67FF3"/>
    <w:rsid w:val="00C70082"/>
    <w:rsid w:val="00C7338F"/>
    <w:rsid w:val="00C73669"/>
    <w:rsid w:val="00C75192"/>
    <w:rsid w:val="00C75E41"/>
    <w:rsid w:val="00C75EBB"/>
    <w:rsid w:val="00C76BE6"/>
    <w:rsid w:val="00C80516"/>
    <w:rsid w:val="00C80C85"/>
    <w:rsid w:val="00C80E81"/>
    <w:rsid w:val="00C81A6C"/>
    <w:rsid w:val="00C81F74"/>
    <w:rsid w:val="00C8381C"/>
    <w:rsid w:val="00C85C36"/>
    <w:rsid w:val="00C863AE"/>
    <w:rsid w:val="00C87708"/>
    <w:rsid w:val="00C907C5"/>
    <w:rsid w:val="00C91299"/>
    <w:rsid w:val="00C93DB6"/>
    <w:rsid w:val="00C942A1"/>
    <w:rsid w:val="00C94C54"/>
    <w:rsid w:val="00C961A6"/>
    <w:rsid w:val="00C96D8F"/>
    <w:rsid w:val="00CA1040"/>
    <w:rsid w:val="00CA1346"/>
    <w:rsid w:val="00CA14D0"/>
    <w:rsid w:val="00CA185D"/>
    <w:rsid w:val="00CA4201"/>
    <w:rsid w:val="00CA4F72"/>
    <w:rsid w:val="00CA558D"/>
    <w:rsid w:val="00CA78B7"/>
    <w:rsid w:val="00CA796D"/>
    <w:rsid w:val="00CA7B50"/>
    <w:rsid w:val="00CB18BB"/>
    <w:rsid w:val="00CB1FDB"/>
    <w:rsid w:val="00CB29EC"/>
    <w:rsid w:val="00CB3A68"/>
    <w:rsid w:val="00CB42A8"/>
    <w:rsid w:val="00CB6762"/>
    <w:rsid w:val="00CB72BF"/>
    <w:rsid w:val="00CB761E"/>
    <w:rsid w:val="00CB7C26"/>
    <w:rsid w:val="00CC0F26"/>
    <w:rsid w:val="00CC1917"/>
    <w:rsid w:val="00CC2BEC"/>
    <w:rsid w:val="00CC4610"/>
    <w:rsid w:val="00CC4698"/>
    <w:rsid w:val="00CC5030"/>
    <w:rsid w:val="00CC6D52"/>
    <w:rsid w:val="00CD07EC"/>
    <w:rsid w:val="00CD1220"/>
    <w:rsid w:val="00CD1A1B"/>
    <w:rsid w:val="00CD1C69"/>
    <w:rsid w:val="00CD2A50"/>
    <w:rsid w:val="00CD2D73"/>
    <w:rsid w:val="00CD2DDB"/>
    <w:rsid w:val="00CD389D"/>
    <w:rsid w:val="00CD3ECE"/>
    <w:rsid w:val="00CD446C"/>
    <w:rsid w:val="00CD4F22"/>
    <w:rsid w:val="00CD51D4"/>
    <w:rsid w:val="00CD59A5"/>
    <w:rsid w:val="00CD6CF9"/>
    <w:rsid w:val="00CD73B8"/>
    <w:rsid w:val="00CE1124"/>
    <w:rsid w:val="00CE1F39"/>
    <w:rsid w:val="00CE3085"/>
    <w:rsid w:val="00CE5C2E"/>
    <w:rsid w:val="00CE5C5B"/>
    <w:rsid w:val="00CF03BE"/>
    <w:rsid w:val="00D04948"/>
    <w:rsid w:val="00D05D54"/>
    <w:rsid w:val="00D0630F"/>
    <w:rsid w:val="00D06965"/>
    <w:rsid w:val="00D06F7F"/>
    <w:rsid w:val="00D130AE"/>
    <w:rsid w:val="00D13300"/>
    <w:rsid w:val="00D13F78"/>
    <w:rsid w:val="00D14A6D"/>
    <w:rsid w:val="00D14A75"/>
    <w:rsid w:val="00D15EC5"/>
    <w:rsid w:val="00D215B7"/>
    <w:rsid w:val="00D21979"/>
    <w:rsid w:val="00D22018"/>
    <w:rsid w:val="00D22D99"/>
    <w:rsid w:val="00D2406E"/>
    <w:rsid w:val="00D24071"/>
    <w:rsid w:val="00D24DC2"/>
    <w:rsid w:val="00D27CF0"/>
    <w:rsid w:val="00D30344"/>
    <w:rsid w:val="00D32D1D"/>
    <w:rsid w:val="00D33B4D"/>
    <w:rsid w:val="00D35196"/>
    <w:rsid w:val="00D35295"/>
    <w:rsid w:val="00D36FE9"/>
    <w:rsid w:val="00D41126"/>
    <w:rsid w:val="00D41166"/>
    <w:rsid w:val="00D42921"/>
    <w:rsid w:val="00D44301"/>
    <w:rsid w:val="00D47E0D"/>
    <w:rsid w:val="00D50516"/>
    <w:rsid w:val="00D50908"/>
    <w:rsid w:val="00D5152F"/>
    <w:rsid w:val="00D52185"/>
    <w:rsid w:val="00D52DBA"/>
    <w:rsid w:val="00D5360C"/>
    <w:rsid w:val="00D54A9E"/>
    <w:rsid w:val="00D57F87"/>
    <w:rsid w:val="00D60907"/>
    <w:rsid w:val="00D60E8C"/>
    <w:rsid w:val="00D62621"/>
    <w:rsid w:val="00D6341E"/>
    <w:rsid w:val="00D63AC9"/>
    <w:rsid w:val="00D6533B"/>
    <w:rsid w:val="00D66047"/>
    <w:rsid w:val="00D66DA0"/>
    <w:rsid w:val="00D66EA7"/>
    <w:rsid w:val="00D67849"/>
    <w:rsid w:val="00D71F49"/>
    <w:rsid w:val="00D72AA9"/>
    <w:rsid w:val="00D73178"/>
    <w:rsid w:val="00D742C1"/>
    <w:rsid w:val="00D75E44"/>
    <w:rsid w:val="00D80398"/>
    <w:rsid w:val="00D81D9E"/>
    <w:rsid w:val="00D827F8"/>
    <w:rsid w:val="00D82C0D"/>
    <w:rsid w:val="00D83B5A"/>
    <w:rsid w:val="00D83D38"/>
    <w:rsid w:val="00D86FD5"/>
    <w:rsid w:val="00D929DB"/>
    <w:rsid w:val="00DA05DA"/>
    <w:rsid w:val="00DA1FAB"/>
    <w:rsid w:val="00DA3C4F"/>
    <w:rsid w:val="00DA4663"/>
    <w:rsid w:val="00DA4F28"/>
    <w:rsid w:val="00DA5076"/>
    <w:rsid w:val="00DA5C95"/>
    <w:rsid w:val="00DA5DDA"/>
    <w:rsid w:val="00DA7EFE"/>
    <w:rsid w:val="00DB038D"/>
    <w:rsid w:val="00DB0EA7"/>
    <w:rsid w:val="00DB1823"/>
    <w:rsid w:val="00DB3280"/>
    <w:rsid w:val="00DB3FCB"/>
    <w:rsid w:val="00DB5977"/>
    <w:rsid w:val="00DB5F16"/>
    <w:rsid w:val="00DB75E9"/>
    <w:rsid w:val="00DC1064"/>
    <w:rsid w:val="00DC2D08"/>
    <w:rsid w:val="00DC3A9E"/>
    <w:rsid w:val="00DC44C7"/>
    <w:rsid w:val="00DC5521"/>
    <w:rsid w:val="00DD057D"/>
    <w:rsid w:val="00DD08C0"/>
    <w:rsid w:val="00DD0930"/>
    <w:rsid w:val="00DD0982"/>
    <w:rsid w:val="00DD173F"/>
    <w:rsid w:val="00DD2BA0"/>
    <w:rsid w:val="00DD4416"/>
    <w:rsid w:val="00DD4A14"/>
    <w:rsid w:val="00DD5C2C"/>
    <w:rsid w:val="00DD6C9F"/>
    <w:rsid w:val="00DD6DF2"/>
    <w:rsid w:val="00DE0EDE"/>
    <w:rsid w:val="00DE0FC0"/>
    <w:rsid w:val="00DE1A69"/>
    <w:rsid w:val="00DE2271"/>
    <w:rsid w:val="00DE2524"/>
    <w:rsid w:val="00DE60DD"/>
    <w:rsid w:val="00DE7DE8"/>
    <w:rsid w:val="00DF0358"/>
    <w:rsid w:val="00DF08C1"/>
    <w:rsid w:val="00DF19AA"/>
    <w:rsid w:val="00DF259A"/>
    <w:rsid w:val="00DF29EB"/>
    <w:rsid w:val="00DF4256"/>
    <w:rsid w:val="00DF5E8C"/>
    <w:rsid w:val="00DF69BD"/>
    <w:rsid w:val="00DF7C03"/>
    <w:rsid w:val="00DF7D0E"/>
    <w:rsid w:val="00E001A2"/>
    <w:rsid w:val="00E04AE6"/>
    <w:rsid w:val="00E04B00"/>
    <w:rsid w:val="00E06B4E"/>
    <w:rsid w:val="00E103B0"/>
    <w:rsid w:val="00E109FD"/>
    <w:rsid w:val="00E10CA6"/>
    <w:rsid w:val="00E1111D"/>
    <w:rsid w:val="00E1155F"/>
    <w:rsid w:val="00E115CD"/>
    <w:rsid w:val="00E11C4F"/>
    <w:rsid w:val="00E12A35"/>
    <w:rsid w:val="00E13BD1"/>
    <w:rsid w:val="00E13C4D"/>
    <w:rsid w:val="00E14207"/>
    <w:rsid w:val="00E14C7F"/>
    <w:rsid w:val="00E15347"/>
    <w:rsid w:val="00E15D8E"/>
    <w:rsid w:val="00E16EE7"/>
    <w:rsid w:val="00E16F92"/>
    <w:rsid w:val="00E2327A"/>
    <w:rsid w:val="00E23A6D"/>
    <w:rsid w:val="00E24493"/>
    <w:rsid w:val="00E247A9"/>
    <w:rsid w:val="00E256A4"/>
    <w:rsid w:val="00E25EF0"/>
    <w:rsid w:val="00E26333"/>
    <w:rsid w:val="00E27935"/>
    <w:rsid w:val="00E30221"/>
    <w:rsid w:val="00E306B9"/>
    <w:rsid w:val="00E34201"/>
    <w:rsid w:val="00E348BD"/>
    <w:rsid w:val="00E3589E"/>
    <w:rsid w:val="00E37F41"/>
    <w:rsid w:val="00E425A3"/>
    <w:rsid w:val="00E430AB"/>
    <w:rsid w:val="00E43349"/>
    <w:rsid w:val="00E44323"/>
    <w:rsid w:val="00E454D7"/>
    <w:rsid w:val="00E45ED7"/>
    <w:rsid w:val="00E46AAB"/>
    <w:rsid w:val="00E507EE"/>
    <w:rsid w:val="00E51566"/>
    <w:rsid w:val="00E51DF1"/>
    <w:rsid w:val="00E523B8"/>
    <w:rsid w:val="00E523D6"/>
    <w:rsid w:val="00E524C1"/>
    <w:rsid w:val="00E53070"/>
    <w:rsid w:val="00E53859"/>
    <w:rsid w:val="00E538B9"/>
    <w:rsid w:val="00E53D58"/>
    <w:rsid w:val="00E5401F"/>
    <w:rsid w:val="00E5420D"/>
    <w:rsid w:val="00E546DF"/>
    <w:rsid w:val="00E56020"/>
    <w:rsid w:val="00E56E8E"/>
    <w:rsid w:val="00E57CAE"/>
    <w:rsid w:val="00E57E06"/>
    <w:rsid w:val="00E6084A"/>
    <w:rsid w:val="00E60A88"/>
    <w:rsid w:val="00E62C38"/>
    <w:rsid w:val="00E6340E"/>
    <w:rsid w:val="00E638E4"/>
    <w:rsid w:val="00E6410E"/>
    <w:rsid w:val="00E64786"/>
    <w:rsid w:val="00E660AB"/>
    <w:rsid w:val="00E667A7"/>
    <w:rsid w:val="00E66D8A"/>
    <w:rsid w:val="00E66F36"/>
    <w:rsid w:val="00E674AA"/>
    <w:rsid w:val="00E67ED0"/>
    <w:rsid w:val="00E70756"/>
    <w:rsid w:val="00E7245C"/>
    <w:rsid w:val="00E72B46"/>
    <w:rsid w:val="00E7335D"/>
    <w:rsid w:val="00E73980"/>
    <w:rsid w:val="00E74D29"/>
    <w:rsid w:val="00E76160"/>
    <w:rsid w:val="00E77550"/>
    <w:rsid w:val="00E779EF"/>
    <w:rsid w:val="00E820C4"/>
    <w:rsid w:val="00E82EB3"/>
    <w:rsid w:val="00E83AB6"/>
    <w:rsid w:val="00E849D2"/>
    <w:rsid w:val="00E85160"/>
    <w:rsid w:val="00E853D9"/>
    <w:rsid w:val="00E8620E"/>
    <w:rsid w:val="00E870CE"/>
    <w:rsid w:val="00E91909"/>
    <w:rsid w:val="00E92087"/>
    <w:rsid w:val="00E932B7"/>
    <w:rsid w:val="00E93AEC"/>
    <w:rsid w:val="00E94212"/>
    <w:rsid w:val="00E95169"/>
    <w:rsid w:val="00E96CBC"/>
    <w:rsid w:val="00E9776B"/>
    <w:rsid w:val="00E97FE3"/>
    <w:rsid w:val="00EA022D"/>
    <w:rsid w:val="00EA5671"/>
    <w:rsid w:val="00EA6570"/>
    <w:rsid w:val="00EA7786"/>
    <w:rsid w:val="00EA779D"/>
    <w:rsid w:val="00EA7F6E"/>
    <w:rsid w:val="00EB02AF"/>
    <w:rsid w:val="00EB0A54"/>
    <w:rsid w:val="00EB0ED7"/>
    <w:rsid w:val="00EB13D5"/>
    <w:rsid w:val="00EB1562"/>
    <w:rsid w:val="00EB23A5"/>
    <w:rsid w:val="00EB3502"/>
    <w:rsid w:val="00EB6A71"/>
    <w:rsid w:val="00EB6D3E"/>
    <w:rsid w:val="00EB6E1F"/>
    <w:rsid w:val="00EB7529"/>
    <w:rsid w:val="00EC02C1"/>
    <w:rsid w:val="00EC0499"/>
    <w:rsid w:val="00EC161E"/>
    <w:rsid w:val="00EC1AA7"/>
    <w:rsid w:val="00EC35D7"/>
    <w:rsid w:val="00EC3A9C"/>
    <w:rsid w:val="00EC3CC5"/>
    <w:rsid w:val="00EC591E"/>
    <w:rsid w:val="00EC5DEE"/>
    <w:rsid w:val="00EC62B2"/>
    <w:rsid w:val="00EC776A"/>
    <w:rsid w:val="00ED0DFF"/>
    <w:rsid w:val="00ED0F1D"/>
    <w:rsid w:val="00ED148D"/>
    <w:rsid w:val="00ED40C7"/>
    <w:rsid w:val="00ED40F0"/>
    <w:rsid w:val="00ED5E25"/>
    <w:rsid w:val="00ED6987"/>
    <w:rsid w:val="00ED7C01"/>
    <w:rsid w:val="00EE1424"/>
    <w:rsid w:val="00EE4E9E"/>
    <w:rsid w:val="00EF1B30"/>
    <w:rsid w:val="00EF2356"/>
    <w:rsid w:val="00EF29D1"/>
    <w:rsid w:val="00EF29F1"/>
    <w:rsid w:val="00EF311B"/>
    <w:rsid w:val="00EF34A6"/>
    <w:rsid w:val="00EF43D0"/>
    <w:rsid w:val="00EF634D"/>
    <w:rsid w:val="00EF7034"/>
    <w:rsid w:val="00F01125"/>
    <w:rsid w:val="00F01947"/>
    <w:rsid w:val="00F01CA7"/>
    <w:rsid w:val="00F0448D"/>
    <w:rsid w:val="00F06DA4"/>
    <w:rsid w:val="00F1039F"/>
    <w:rsid w:val="00F10952"/>
    <w:rsid w:val="00F110EB"/>
    <w:rsid w:val="00F11452"/>
    <w:rsid w:val="00F114C3"/>
    <w:rsid w:val="00F13437"/>
    <w:rsid w:val="00F17386"/>
    <w:rsid w:val="00F17A3B"/>
    <w:rsid w:val="00F211D3"/>
    <w:rsid w:val="00F21245"/>
    <w:rsid w:val="00F228B1"/>
    <w:rsid w:val="00F23465"/>
    <w:rsid w:val="00F24661"/>
    <w:rsid w:val="00F25129"/>
    <w:rsid w:val="00F25E59"/>
    <w:rsid w:val="00F276D8"/>
    <w:rsid w:val="00F27BC1"/>
    <w:rsid w:val="00F27F3E"/>
    <w:rsid w:val="00F317B9"/>
    <w:rsid w:val="00F34A90"/>
    <w:rsid w:val="00F34E9B"/>
    <w:rsid w:val="00F36383"/>
    <w:rsid w:val="00F3662D"/>
    <w:rsid w:val="00F369E6"/>
    <w:rsid w:val="00F40530"/>
    <w:rsid w:val="00F42292"/>
    <w:rsid w:val="00F4450E"/>
    <w:rsid w:val="00F44A7B"/>
    <w:rsid w:val="00F45358"/>
    <w:rsid w:val="00F50431"/>
    <w:rsid w:val="00F51029"/>
    <w:rsid w:val="00F524E4"/>
    <w:rsid w:val="00F52832"/>
    <w:rsid w:val="00F531C2"/>
    <w:rsid w:val="00F53918"/>
    <w:rsid w:val="00F539F0"/>
    <w:rsid w:val="00F53FCF"/>
    <w:rsid w:val="00F54DF9"/>
    <w:rsid w:val="00F5588B"/>
    <w:rsid w:val="00F56537"/>
    <w:rsid w:val="00F57C54"/>
    <w:rsid w:val="00F600B6"/>
    <w:rsid w:val="00F608FC"/>
    <w:rsid w:val="00F60912"/>
    <w:rsid w:val="00F61239"/>
    <w:rsid w:val="00F61281"/>
    <w:rsid w:val="00F61459"/>
    <w:rsid w:val="00F61878"/>
    <w:rsid w:val="00F620FF"/>
    <w:rsid w:val="00F62EE5"/>
    <w:rsid w:val="00F63B18"/>
    <w:rsid w:val="00F65995"/>
    <w:rsid w:val="00F66795"/>
    <w:rsid w:val="00F66FDF"/>
    <w:rsid w:val="00F72C5D"/>
    <w:rsid w:val="00F72E14"/>
    <w:rsid w:val="00F732F8"/>
    <w:rsid w:val="00F74A84"/>
    <w:rsid w:val="00F756EC"/>
    <w:rsid w:val="00F75F37"/>
    <w:rsid w:val="00F76AED"/>
    <w:rsid w:val="00F77DB0"/>
    <w:rsid w:val="00F814F6"/>
    <w:rsid w:val="00F85764"/>
    <w:rsid w:val="00F872F2"/>
    <w:rsid w:val="00F87C94"/>
    <w:rsid w:val="00F90993"/>
    <w:rsid w:val="00F9326D"/>
    <w:rsid w:val="00F93C59"/>
    <w:rsid w:val="00F9438B"/>
    <w:rsid w:val="00F9599B"/>
    <w:rsid w:val="00F96034"/>
    <w:rsid w:val="00F975CE"/>
    <w:rsid w:val="00F97E4D"/>
    <w:rsid w:val="00FA1FC9"/>
    <w:rsid w:val="00FA2621"/>
    <w:rsid w:val="00FA2B33"/>
    <w:rsid w:val="00FA2F4C"/>
    <w:rsid w:val="00FA32C7"/>
    <w:rsid w:val="00FA463F"/>
    <w:rsid w:val="00FA56F9"/>
    <w:rsid w:val="00FA651B"/>
    <w:rsid w:val="00FA6B1B"/>
    <w:rsid w:val="00FB0B50"/>
    <w:rsid w:val="00FB169F"/>
    <w:rsid w:val="00FB3670"/>
    <w:rsid w:val="00FB3A39"/>
    <w:rsid w:val="00FB48E3"/>
    <w:rsid w:val="00FB4A2A"/>
    <w:rsid w:val="00FB4EF2"/>
    <w:rsid w:val="00FB5649"/>
    <w:rsid w:val="00FB741B"/>
    <w:rsid w:val="00FC00BE"/>
    <w:rsid w:val="00FC1E02"/>
    <w:rsid w:val="00FC2A7E"/>
    <w:rsid w:val="00FC30BC"/>
    <w:rsid w:val="00FC36CA"/>
    <w:rsid w:val="00FC393C"/>
    <w:rsid w:val="00FC3FC4"/>
    <w:rsid w:val="00FC60AD"/>
    <w:rsid w:val="00FD0031"/>
    <w:rsid w:val="00FD139A"/>
    <w:rsid w:val="00FD13C1"/>
    <w:rsid w:val="00FD55A1"/>
    <w:rsid w:val="00FD58B5"/>
    <w:rsid w:val="00FD5ECE"/>
    <w:rsid w:val="00FD7B5D"/>
    <w:rsid w:val="00FE140D"/>
    <w:rsid w:val="00FE19E7"/>
    <w:rsid w:val="00FE27BB"/>
    <w:rsid w:val="00FE3333"/>
    <w:rsid w:val="00FE355C"/>
    <w:rsid w:val="00FE36D0"/>
    <w:rsid w:val="00FE3AAE"/>
    <w:rsid w:val="00FE411D"/>
    <w:rsid w:val="00FE5832"/>
    <w:rsid w:val="00FE5C7F"/>
    <w:rsid w:val="00FE6804"/>
    <w:rsid w:val="00FE7B19"/>
    <w:rsid w:val="00FE7C5A"/>
    <w:rsid w:val="00FF19E0"/>
    <w:rsid w:val="00FF3845"/>
    <w:rsid w:val="00FF60F5"/>
    <w:rsid w:val="00FF7BF5"/>
    <w:rsid w:val="02574590"/>
    <w:rsid w:val="02AA714F"/>
    <w:rsid w:val="04C0228A"/>
    <w:rsid w:val="07D3791A"/>
    <w:rsid w:val="07FB6ABF"/>
    <w:rsid w:val="09605E35"/>
    <w:rsid w:val="0A230FA0"/>
    <w:rsid w:val="0D015660"/>
    <w:rsid w:val="127F0FA7"/>
    <w:rsid w:val="1623634F"/>
    <w:rsid w:val="171F7A51"/>
    <w:rsid w:val="1D603236"/>
    <w:rsid w:val="208B51B3"/>
    <w:rsid w:val="208B547D"/>
    <w:rsid w:val="22BC5D13"/>
    <w:rsid w:val="25FF0CF3"/>
    <w:rsid w:val="2ED45366"/>
    <w:rsid w:val="31161414"/>
    <w:rsid w:val="38384F3F"/>
    <w:rsid w:val="384B51E2"/>
    <w:rsid w:val="3A087704"/>
    <w:rsid w:val="3AB22857"/>
    <w:rsid w:val="3AB87447"/>
    <w:rsid w:val="3BA23D6D"/>
    <w:rsid w:val="3C296176"/>
    <w:rsid w:val="3E8837ED"/>
    <w:rsid w:val="3F7DBB0D"/>
    <w:rsid w:val="42F21CD4"/>
    <w:rsid w:val="47360C25"/>
    <w:rsid w:val="498221AC"/>
    <w:rsid w:val="4D472EE6"/>
    <w:rsid w:val="4E3E64D5"/>
    <w:rsid w:val="4E7150FB"/>
    <w:rsid w:val="51EE7F9E"/>
    <w:rsid w:val="553E5F3D"/>
    <w:rsid w:val="571368BF"/>
    <w:rsid w:val="5CBA104F"/>
    <w:rsid w:val="5F090D22"/>
    <w:rsid w:val="5FD775BD"/>
    <w:rsid w:val="61B04705"/>
    <w:rsid w:val="624C650E"/>
    <w:rsid w:val="67F23859"/>
    <w:rsid w:val="682E5F51"/>
    <w:rsid w:val="68B662C7"/>
    <w:rsid w:val="6D0F1CE7"/>
    <w:rsid w:val="70FF0580"/>
    <w:rsid w:val="71CE784B"/>
    <w:rsid w:val="73AF3E2E"/>
    <w:rsid w:val="763044F1"/>
    <w:rsid w:val="7745043C"/>
    <w:rsid w:val="77B8197C"/>
    <w:rsid w:val="7E6E2B53"/>
    <w:rsid w:val="7E6F3F74"/>
    <w:rsid w:val="7E7C455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eastAsia="仿宋_GB2312" w:hAnsiTheme="minorHAnsi" w:cstheme="minorBidi"/>
      <w:kern w:val="2"/>
      <w:sz w:val="28"/>
      <w:szCs w:val="22"/>
      <w:lang w:val="en-US" w:eastAsia="zh-CN" w:bidi="ar-SA"/>
    </w:rPr>
  </w:style>
  <w:style w:type="paragraph" w:styleId="2">
    <w:name w:val="heading 1"/>
    <w:basedOn w:val="1"/>
    <w:next w:val="1"/>
    <w:link w:val="28"/>
    <w:qFormat/>
    <w:uiPriority w:val="0"/>
    <w:pPr>
      <w:keepNext/>
      <w:keepLines/>
      <w:spacing w:before="240" w:after="240" w:line="560" w:lineRule="exact"/>
      <w:jc w:val="left"/>
      <w:outlineLvl w:val="0"/>
    </w:pPr>
    <w:rPr>
      <w:rFonts w:ascii="Arial" w:hAnsi="Arial" w:eastAsia="黑体"/>
      <w:bCs/>
      <w:kern w:val="44"/>
      <w:sz w:val="36"/>
      <w:szCs w:val="44"/>
    </w:rPr>
  </w:style>
  <w:style w:type="paragraph" w:styleId="3">
    <w:name w:val="heading 2"/>
    <w:basedOn w:val="1"/>
    <w:next w:val="1"/>
    <w:link w:val="29"/>
    <w:unhideWhenUsed/>
    <w:qFormat/>
    <w:uiPriority w:val="0"/>
    <w:pPr>
      <w:keepNext/>
      <w:keepLines/>
      <w:spacing w:before="120" w:after="120" w:line="560" w:lineRule="exact"/>
      <w:jc w:val="left"/>
      <w:outlineLvl w:val="1"/>
    </w:pPr>
    <w:rPr>
      <w:rFonts w:ascii="Arial" w:hAnsi="Arial" w:eastAsia="黑体" w:cstheme="majorBidi"/>
      <w:bCs/>
      <w:sz w:val="32"/>
      <w:szCs w:val="32"/>
    </w:rPr>
  </w:style>
  <w:style w:type="paragraph" w:styleId="4">
    <w:name w:val="heading 3"/>
    <w:basedOn w:val="1"/>
    <w:next w:val="1"/>
    <w:link w:val="30"/>
    <w:unhideWhenUsed/>
    <w:qFormat/>
    <w:uiPriority w:val="9"/>
    <w:pPr>
      <w:keepNext/>
      <w:keepLines/>
      <w:spacing w:before="240" w:after="240" w:line="560" w:lineRule="exact"/>
      <w:outlineLvl w:val="2"/>
    </w:pPr>
    <w:rPr>
      <w:rFonts w:eastAsia="仿宋"/>
      <w:bCs/>
      <w:sz w:val="30"/>
      <w:szCs w:val="32"/>
    </w:rPr>
  </w:style>
  <w:style w:type="paragraph" w:styleId="5">
    <w:name w:val="heading 4"/>
    <w:basedOn w:val="1"/>
    <w:next w:val="1"/>
    <w:link w:val="55"/>
    <w:unhideWhenUsed/>
    <w:qFormat/>
    <w:uiPriority w:val="9"/>
    <w:pPr>
      <w:keepNext/>
      <w:keepLines/>
      <w:spacing w:line="560" w:lineRule="exact"/>
      <w:jc w:val="left"/>
      <w:outlineLvl w:val="3"/>
    </w:pPr>
    <w:rPr>
      <w:rFonts w:ascii="Arial" w:hAnsi="Arial" w:eastAsia="宋体" w:cstheme="majorBidi"/>
      <w:bCs/>
      <w:szCs w:val="28"/>
    </w:rPr>
  </w:style>
  <w:style w:type="paragraph" w:styleId="6">
    <w:name w:val="heading 5"/>
    <w:basedOn w:val="1"/>
    <w:next w:val="1"/>
    <w:link w:val="31"/>
    <w:semiHidden/>
    <w:unhideWhenUsed/>
    <w:qFormat/>
    <w:uiPriority w:val="9"/>
    <w:pPr>
      <w:keepNext/>
      <w:keepLines/>
      <w:spacing w:before="280" w:after="290" w:line="376" w:lineRule="auto"/>
      <w:outlineLvl w:val="4"/>
    </w:pPr>
    <w:rPr>
      <w:b/>
      <w:bCs/>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Layout w:type="fixed"/>
      <w:tblCellMar>
        <w:top w:w="0" w:type="dxa"/>
        <w:left w:w="108" w:type="dxa"/>
        <w:bottom w:w="0" w:type="dxa"/>
        <w:right w:w="108" w:type="dxa"/>
      </w:tblCellMar>
    </w:tblPr>
  </w:style>
  <w:style w:type="paragraph" w:styleId="7">
    <w:name w:val="toc 7"/>
    <w:basedOn w:val="1"/>
    <w:next w:val="1"/>
    <w:unhideWhenUsed/>
    <w:qFormat/>
    <w:uiPriority w:val="39"/>
    <w:pPr>
      <w:ind w:left="2520" w:leftChars="1200"/>
    </w:pPr>
  </w:style>
  <w:style w:type="paragraph" w:styleId="8">
    <w:name w:val="Document Map"/>
    <w:basedOn w:val="1"/>
    <w:link w:val="32"/>
    <w:semiHidden/>
    <w:unhideWhenUsed/>
    <w:qFormat/>
    <w:uiPriority w:val="99"/>
    <w:rPr>
      <w:rFonts w:ascii="宋体" w:eastAsia="宋体"/>
      <w:sz w:val="18"/>
      <w:szCs w:val="18"/>
    </w:rPr>
  </w:style>
  <w:style w:type="paragraph" w:styleId="9">
    <w:name w:val="toc 5"/>
    <w:basedOn w:val="1"/>
    <w:next w:val="1"/>
    <w:unhideWhenUsed/>
    <w:qFormat/>
    <w:uiPriority w:val="39"/>
    <w:pPr>
      <w:ind w:left="1680" w:leftChars="800"/>
    </w:pPr>
  </w:style>
  <w:style w:type="paragraph" w:styleId="10">
    <w:name w:val="toc 3"/>
    <w:basedOn w:val="1"/>
    <w:next w:val="1"/>
    <w:unhideWhenUsed/>
    <w:qFormat/>
    <w:uiPriority w:val="39"/>
    <w:pPr>
      <w:ind w:left="840" w:leftChars="400"/>
    </w:pPr>
  </w:style>
  <w:style w:type="paragraph" w:styleId="11">
    <w:name w:val="toc 8"/>
    <w:basedOn w:val="1"/>
    <w:next w:val="1"/>
    <w:unhideWhenUsed/>
    <w:qFormat/>
    <w:uiPriority w:val="39"/>
    <w:pPr>
      <w:ind w:left="2940" w:leftChars="1400"/>
    </w:pPr>
  </w:style>
  <w:style w:type="paragraph" w:styleId="12">
    <w:name w:val="Date"/>
    <w:basedOn w:val="1"/>
    <w:next w:val="1"/>
    <w:link w:val="33"/>
    <w:semiHidden/>
    <w:unhideWhenUsed/>
    <w:qFormat/>
    <w:uiPriority w:val="99"/>
    <w:pPr>
      <w:ind w:left="100" w:leftChars="2500"/>
    </w:pPr>
  </w:style>
  <w:style w:type="paragraph" w:styleId="13">
    <w:name w:val="Balloon Text"/>
    <w:basedOn w:val="1"/>
    <w:link w:val="34"/>
    <w:semiHidden/>
    <w:unhideWhenUsed/>
    <w:qFormat/>
    <w:uiPriority w:val="99"/>
    <w:rPr>
      <w:sz w:val="18"/>
      <w:szCs w:val="18"/>
    </w:rPr>
  </w:style>
  <w:style w:type="paragraph" w:styleId="14">
    <w:name w:val="footer"/>
    <w:basedOn w:val="1"/>
    <w:link w:val="35"/>
    <w:unhideWhenUsed/>
    <w:qFormat/>
    <w:uiPriority w:val="99"/>
    <w:pPr>
      <w:tabs>
        <w:tab w:val="center" w:pos="4153"/>
        <w:tab w:val="right" w:pos="8306"/>
      </w:tabs>
      <w:snapToGrid w:val="0"/>
      <w:jc w:val="left"/>
    </w:pPr>
    <w:rPr>
      <w:sz w:val="18"/>
      <w:szCs w:val="18"/>
    </w:rPr>
  </w:style>
  <w:style w:type="paragraph" w:styleId="15">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spacing w:line="560" w:lineRule="exact"/>
      <w:contextualSpacing/>
    </w:pPr>
    <w:rPr>
      <w:rFonts w:ascii="Times New Roman" w:hAnsi="Times New Roman" w:eastAsia="黑体" w:cs="Times New Roman"/>
      <w:kern w:val="0"/>
      <w:szCs w:val="28"/>
    </w:rPr>
  </w:style>
  <w:style w:type="paragraph" w:styleId="17">
    <w:name w:val="toc 4"/>
    <w:basedOn w:val="1"/>
    <w:next w:val="1"/>
    <w:unhideWhenUsed/>
    <w:qFormat/>
    <w:uiPriority w:val="39"/>
    <w:pPr>
      <w:ind w:left="1260" w:leftChars="600"/>
    </w:pPr>
  </w:style>
  <w:style w:type="paragraph" w:styleId="18">
    <w:name w:val="Subtitle"/>
    <w:basedOn w:val="1"/>
    <w:link w:val="37"/>
    <w:qFormat/>
    <w:uiPriority w:val="11"/>
    <w:pPr>
      <w:spacing w:line="560" w:lineRule="exact"/>
      <w:contextualSpacing/>
      <w:jc w:val="center"/>
    </w:pPr>
    <w:rPr>
      <w:rFonts w:eastAsia="方正魏碑_GBK"/>
      <w:bCs/>
      <w:sz w:val="44"/>
      <w:szCs w:val="32"/>
    </w:rPr>
  </w:style>
  <w:style w:type="paragraph" w:styleId="19">
    <w:name w:val="toc 6"/>
    <w:basedOn w:val="1"/>
    <w:next w:val="1"/>
    <w:unhideWhenUsed/>
    <w:qFormat/>
    <w:uiPriority w:val="39"/>
    <w:pPr>
      <w:ind w:left="2100" w:leftChars="1000"/>
    </w:pPr>
  </w:style>
  <w:style w:type="paragraph" w:styleId="20">
    <w:name w:val="toc 2"/>
    <w:basedOn w:val="1"/>
    <w:next w:val="1"/>
    <w:qFormat/>
    <w:uiPriority w:val="39"/>
    <w:pPr>
      <w:tabs>
        <w:tab w:val="right" w:leader="dot" w:pos="9060"/>
      </w:tabs>
      <w:spacing w:line="560" w:lineRule="exact"/>
      <w:ind w:left="308" w:leftChars="110"/>
      <w:contextualSpacing/>
    </w:pPr>
    <w:rPr>
      <w:rFonts w:ascii="Times New Roman" w:hAnsi="Times New Roman" w:cs="Times New Roman"/>
      <w:kern w:val="0"/>
      <w:szCs w:val="24"/>
    </w:rPr>
  </w:style>
  <w:style w:type="paragraph" w:styleId="21">
    <w:name w:val="toc 9"/>
    <w:basedOn w:val="1"/>
    <w:next w:val="1"/>
    <w:unhideWhenUsed/>
    <w:qFormat/>
    <w:uiPriority w:val="39"/>
    <w:pPr>
      <w:ind w:left="3360" w:leftChars="1600"/>
    </w:pPr>
  </w:style>
  <w:style w:type="paragraph" w:styleId="22">
    <w:name w:val="Title"/>
    <w:basedOn w:val="1"/>
    <w:next w:val="1"/>
    <w:link w:val="38"/>
    <w:qFormat/>
    <w:uiPriority w:val="10"/>
    <w:pPr>
      <w:spacing w:before="240" w:after="240" w:line="560" w:lineRule="exact"/>
      <w:contextualSpacing/>
      <w:jc w:val="center"/>
    </w:pPr>
    <w:rPr>
      <w:rFonts w:ascii="Times New Roman" w:hAnsi="Times New Roman" w:eastAsia="方正魏碑_GBK" w:cs="Times New Roman"/>
      <w:bCs/>
      <w:kern w:val="0"/>
      <w:sz w:val="52"/>
      <w:szCs w:val="32"/>
    </w:rPr>
  </w:style>
  <w:style w:type="table" w:styleId="24">
    <w:name w:val="Table Grid"/>
    <w:basedOn w:val="2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6">
    <w:name w:val="Strong"/>
    <w:basedOn w:val="25"/>
    <w:qFormat/>
    <w:uiPriority w:val="22"/>
    <w:rPr>
      <w:b/>
      <w:bCs/>
    </w:rPr>
  </w:style>
  <w:style w:type="character" w:styleId="27">
    <w:name w:val="Hyperlink"/>
    <w:qFormat/>
    <w:uiPriority w:val="99"/>
    <w:rPr>
      <w:color w:val="0000FF"/>
      <w:u w:val="single"/>
    </w:rPr>
  </w:style>
  <w:style w:type="character" w:customStyle="1" w:styleId="28">
    <w:name w:val="标题 1 Char"/>
    <w:basedOn w:val="25"/>
    <w:link w:val="2"/>
    <w:qFormat/>
    <w:uiPriority w:val="0"/>
    <w:rPr>
      <w:rFonts w:ascii="Arial" w:hAnsi="Arial" w:eastAsia="黑体" w:cstheme="minorBidi"/>
      <w:bCs/>
      <w:kern w:val="44"/>
      <w:sz w:val="36"/>
      <w:szCs w:val="44"/>
    </w:rPr>
  </w:style>
  <w:style w:type="character" w:customStyle="1" w:styleId="29">
    <w:name w:val="标题 2 Char"/>
    <w:basedOn w:val="25"/>
    <w:link w:val="3"/>
    <w:qFormat/>
    <w:uiPriority w:val="0"/>
    <w:rPr>
      <w:rFonts w:ascii="Arial" w:hAnsi="Arial" w:eastAsia="黑体" w:cstheme="majorBidi"/>
      <w:bCs/>
      <w:kern w:val="2"/>
      <w:sz w:val="32"/>
      <w:szCs w:val="32"/>
    </w:rPr>
  </w:style>
  <w:style w:type="character" w:customStyle="1" w:styleId="30">
    <w:name w:val="标题 3 Char"/>
    <w:basedOn w:val="25"/>
    <w:link w:val="4"/>
    <w:qFormat/>
    <w:uiPriority w:val="9"/>
    <w:rPr>
      <w:rFonts w:eastAsia="仿宋"/>
      <w:bCs/>
      <w:sz w:val="30"/>
      <w:szCs w:val="32"/>
    </w:rPr>
  </w:style>
  <w:style w:type="character" w:customStyle="1" w:styleId="31">
    <w:name w:val="标题 5 Char"/>
    <w:basedOn w:val="25"/>
    <w:link w:val="6"/>
    <w:semiHidden/>
    <w:qFormat/>
    <w:uiPriority w:val="9"/>
    <w:rPr>
      <w:rFonts w:asciiTheme="minorHAnsi" w:hAnsiTheme="minorHAnsi" w:eastAsiaTheme="minorEastAsia" w:cstheme="minorBidi"/>
      <w:b/>
      <w:bCs/>
      <w:kern w:val="2"/>
      <w:sz w:val="28"/>
      <w:szCs w:val="28"/>
    </w:rPr>
  </w:style>
  <w:style w:type="character" w:customStyle="1" w:styleId="32">
    <w:name w:val="文档结构图 Char"/>
    <w:basedOn w:val="25"/>
    <w:link w:val="8"/>
    <w:semiHidden/>
    <w:qFormat/>
    <w:uiPriority w:val="99"/>
    <w:rPr>
      <w:rFonts w:ascii="宋体" w:eastAsia="宋体"/>
      <w:sz w:val="18"/>
      <w:szCs w:val="18"/>
    </w:rPr>
  </w:style>
  <w:style w:type="character" w:customStyle="1" w:styleId="33">
    <w:name w:val="日期 Char"/>
    <w:basedOn w:val="25"/>
    <w:link w:val="12"/>
    <w:semiHidden/>
    <w:qFormat/>
    <w:uiPriority w:val="99"/>
  </w:style>
  <w:style w:type="character" w:customStyle="1" w:styleId="34">
    <w:name w:val="批注框文本 Char"/>
    <w:basedOn w:val="25"/>
    <w:link w:val="13"/>
    <w:semiHidden/>
    <w:qFormat/>
    <w:uiPriority w:val="99"/>
    <w:rPr>
      <w:sz w:val="18"/>
      <w:szCs w:val="18"/>
    </w:rPr>
  </w:style>
  <w:style w:type="character" w:customStyle="1" w:styleId="35">
    <w:name w:val="页脚 Char"/>
    <w:basedOn w:val="25"/>
    <w:link w:val="14"/>
    <w:qFormat/>
    <w:uiPriority w:val="99"/>
    <w:rPr>
      <w:sz w:val="18"/>
      <w:szCs w:val="18"/>
    </w:rPr>
  </w:style>
  <w:style w:type="character" w:customStyle="1" w:styleId="36">
    <w:name w:val="页眉 Char"/>
    <w:basedOn w:val="25"/>
    <w:link w:val="15"/>
    <w:qFormat/>
    <w:uiPriority w:val="99"/>
    <w:rPr>
      <w:sz w:val="18"/>
      <w:szCs w:val="18"/>
    </w:rPr>
  </w:style>
  <w:style w:type="character" w:customStyle="1" w:styleId="37">
    <w:name w:val="副标题 Char"/>
    <w:link w:val="18"/>
    <w:qFormat/>
    <w:uiPriority w:val="11"/>
    <w:rPr>
      <w:rFonts w:eastAsia="方正魏碑_GBK"/>
      <w:bCs/>
      <w:sz w:val="44"/>
      <w:szCs w:val="32"/>
    </w:rPr>
  </w:style>
  <w:style w:type="character" w:customStyle="1" w:styleId="38">
    <w:name w:val="标题 Char"/>
    <w:basedOn w:val="25"/>
    <w:link w:val="22"/>
    <w:qFormat/>
    <w:uiPriority w:val="10"/>
    <w:rPr>
      <w:rFonts w:ascii="Times New Roman" w:hAnsi="Times New Roman" w:eastAsia="方正魏碑_GBK" w:cs="Times New Roman"/>
      <w:bCs/>
      <w:kern w:val="0"/>
      <w:sz w:val="52"/>
      <w:szCs w:val="32"/>
    </w:rPr>
  </w:style>
  <w:style w:type="paragraph" w:styleId="39">
    <w:name w:val="List Paragraph"/>
    <w:basedOn w:val="1"/>
    <w:qFormat/>
    <w:uiPriority w:val="34"/>
    <w:pPr>
      <w:ind w:firstLine="420" w:firstLineChars="200"/>
    </w:pPr>
  </w:style>
  <w:style w:type="paragraph" w:customStyle="1" w:styleId="40">
    <w:name w:val="标标2"/>
    <w:basedOn w:val="3"/>
    <w:qFormat/>
    <w:uiPriority w:val="0"/>
    <w:pPr>
      <w:spacing w:before="0" w:after="0" w:line="480" w:lineRule="auto"/>
    </w:pPr>
    <w:rPr>
      <w:rFonts w:ascii="黑体" w:hAnsi="Times New Roman" w:cs="宋体"/>
      <w:kern w:val="0"/>
    </w:rPr>
  </w:style>
  <w:style w:type="paragraph" w:customStyle="1" w:styleId="41">
    <w:name w:val="标标3"/>
    <w:basedOn w:val="4"/>
    <w:qFormat/>
    <w:uiPriority w:val="0"/>
    <w:pPr>
      <w:spacing w:before="0" w:after="0"/>
      <w:jc w:val="left"/>
    </w:pPr>
    <w:rPr>
      <w:rFonts w:ascii="Arial" w:hAnsi="Arial" w:eastAsia="方正小标宋_GBK" w:cs="Times New Roman"/>
      <w:sz w:val="28"/>
      <w:szCs w:val="22"/>
    </w:rPr>
  </w:style>
  <w:style w:type="character" w:customStyle="1" w:styleId="42">
    <w:name w:val="正文~ Char"/>
    <w:link w:val="43"/>
    <w:qFormat/>
    <w:uiPriority w:val="0"/>
    <w:rPr>
      <w:rFonts w:ascii="仿宋_GB2312" w:eastAsia="仿宋_GB2312" w:hAnsiTheme="minorHAnsi" w:cstheme="minorBidi"/>
      <w:kern w:val="2"/>
      <w:sz w:val="28"/>
      <w:szCs w:val="28"/>
    </w:rPr>
  </w:style>
  <w:style w:type="paragraph" w:customStyle="1" w:styleId="43">
    <w:name w:val="正文~"/>
    <w:basedOn w:val="1"/>
    <w:link w:val="42"/>
    <w:qFormat/>
    <w:uiPriority w:val="0"/>
    <w:pPr>
      <w:spacing w:line="560" w:lineRule="exact"/>
      <w:ind w:firstLine="200" w:firstLineChars="200"/>
    </w:pPr>
    <w:rPr>
      <w:szCs w:val="28"/>
    </w:rPr>
  </w:style>
  <w:style w:type="character" w:customStyle="1" w:styleId="44">
    <w:name w:val="副标题 Char1"/>
    <w:basedOn w:val="25"/>
    <w:qFormat/>
    <w:uiPriority w:val="11"/>
    <w:rPr>
      <w:rFonts w:eastAsia="宋体" w:asciiTheme="majorHAnsi" w:hAnsiTheme="majorHAnsi" w:cstheme="majorBidi"/>
      <w:b/>
      <w:bCs/>
      <w:kern w:val="28"/>
      <w:sz w:val="32"/>
      <w:szCs w:val="32"/>
    </w:rPr>
  </w:style>
  <w:style w:type="paragraph" w:customStyle="1" w:styleId="45">
    <w:name w:val="标标1"/>
    <w:basedOn w:val="2"/>
    <w:qFormat/>
    <w:uiPriority w:val="0"/>
    <w:pPr>
      <w:spacing w:beforeLines="50" w:after="0" w:line="480" w:lineRule="auto"/>
    </w:pPr>
    <w:rPr>
      <w:rFonts w:ascii="黑体" w:hAnsi="Times New Roman" w:cs="宋体"/>
      <w:bCs w:val="0"/>
      <w:szCs w:val="36"/>
    </w:rPr>
  </w:style>
  <w:style w:type="paragraph" w:customStyle="1" w:styleId="46">
    <w:name w:val="标标2 + Times New Roman"/>
    <w:basedOn w:val="40"/>
    <w:qFormat/>
    <w:uiPriority w:val="0"/>
    <w:rPr>
      <w:bCs w:val="0"/>
    </w:rPr>
  </w:style>
  <w:style w:type="character" w:customStyle="1" w:styleId="47">
    <w:name w:val="表中 Char"/>
    <w:link w:val="48"/>
    <w:qFormat/>
    <w:locked/>
    <w:uiPriority w:val="0"/>
    <w:rPr>
      <w:rFonts w:eastAsia="宋体"/>
    </w:rPr>
  </w:style>
  <w:style w:type="paragraph" w:customStyle="1" w:styleId="48">
    <w:name w:val="表中"/>
    <w:next w:val="1"/>
    <w:link w:val="47"/>
    <w:qFormat/>
    <w:uiPriority w:val="0"/>
    <w:pPr>
      <w:widowControl w:val="0"/>
      <w:snapToGrid w:val="0"/>
      <w:jc w:val="center"/>
      <w:textAlignment w:val="center"/>
    </w:pPr>
    <w:rPr>
      <w:rFonts w:eastAsia="宋体" w:asciiTheme="minorHAnsi" w:hAnsiTheme="minorHAnsi" w:cstheme="minorBidi"/>
      <w:kern w:val="2"/>
      <w:sz w:val="21"/>
      <w:szCs w:val="22"/>
      <w:lang w:val="en-US" w:eastAsia="zh-CN" w:bidi="ar-SA"/>
    </w:rPr>
  </w:style>
  <w:style w:type="character" w:customStyle="1" w:styleId="49">
    <w:name w:val="正  文 Char Char"/>
    <w:link w:val="50"/>
    <w:qFormat/>
    <w:uiPriority w:val="0"/>
    <w:rPr>
      <w:rFonts w:ascii="Times New Roman" w:hAnsi="Times New Roman" w:eastAsia="仿宋_GB2312"/>
      <w:sz w:val="28"/>
      <w:szCs w:val="28"/>
    </w:rPr>
  </w:style>
  <w:style w:type="paragraph" w:customStyle="1" w:styleId="50">
    <w:name w:val="正  文"/>
    <w:basedOn w:val="1"/>
    <w:link w:val="49"/>
    <w:qFormat/>
    <w:uiPriority w:val="0"/>
    <w:pPr>
      <w:ind w:firstLine="200" w:firstLineChars="200"/>
      <w:textAlignment w:val="baseline"/>
    </w:pPr>
    <w:rPr>
      <w:rFonts w:ascii="Times New Roman" w:hAnsi="Times New Roman"/>
      <w:szCs w:val="28"/>
    </w:rPr>
  </w:style>
  <w:style w:type="paragraph" w:customStyle="1" w:styleId="51">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52">
    <w:name w:val="表格内容"/>
    <w:basedOn w:val="6"/>
    <w:next w:val="1"/>
    <w:qFormat/>
    <w:uiPriority w:val="0"/>
    <w:pPr>
      <w:keepNext w:val="0"/>
      <w:keepLines w:val="0"/>
      <w:snapToGrid w:val="0"/>
      <w:spacing w:before="0" w:after="0" w:line="240" w:lineRule="auto"/>
      <w:jc w:val="center"/>
      <w:textAlignment w:val="center"/>
    </w:pPr>
    <w:rPr>
      <w:rFonts w:ascii="楷体_GB2312" w:hAnsi="楷体_GB2312" w:eastAsia="楷体_GB2312"/>
      <w:b w:val="0"/>
      <w:sz w:val="21"/>
      <w:szCs w:val="22"/>
    </w:rPr>
  </w:style>
  <w:style w:type="paragraph" w:customStyle="1" w:styleId="53">
    <w:name w:val="表头~"/>
    <w:basedOn w:val="1"/>
    <w:qFormat/>
    <w:uiPriority w:val="0"/>
    <w:pPr>
      <w:spacing w:after="60" w:line="560" w:lineRule="exact"/>
      <w:ind w:firstLine="100" w:firstLineChars="100"/>
      <w:contextualSpacing/>
    </w:pPr>
    <w:rPr>
      <w:rFonts w:ascii="黑体" w:hAnsi="Times New Roman" w:eastAsia="黑体" w:cs="Times New Roman"/>
      <w:bCs/>
      <w:color w:val="000000" w:themeColor="text1"/>
      <w:kern w:val="0"/>
      <w:sz w:val="24"/>
      <w:szCs w:val="24"/>
      <w14:textFill>
        <w14:solidFill>
          <w14:schemeClr w14:val="tx1"/>
        </w14:solidFill>
      </w14:textFill>
    </w:rPr>
  </w:style>
  <w:style w:type="paragraph" w:customStyle="1" w:styleId="54">
    <w:name w:val="括号~"/>
    <w:basedOn w:val="43"/>
    <w:qFormat/>
    <w:uiPriority w:val="0"/>
    <w:rPr>
      <w:rFonts w:ascii="楷体_GB2312" w:eastAsia="楷体_GB2312"/>
      <w:lang w:bidi="en-US"/>
    </w:rPr>
  </w:style>
  <w:style w:type="character" w:customStyle="1" w:styleId="55">
    <w:name w:val="标题 4 Char"/>
    <w:basedOn w:val="25"/>
    <w:link w:val="5"/>
    <w:qFormat/>
    <w:uiPriority w:val="9"/>
    <w:rPr>
      <w:rFonts w:ascii="Arial" w:hAnsi="Arial" w:cstheme="majorBidi"/>
      <w:bCs/>
      <w:kern w:val="2"/>
      <w:sz w:val="28"/>
      <w:szCs w:val="28"/>
    </w:rPr>
  </w:style>
  <w:style w:type="paragraph" w:customStyle="1" w:styleId="56">
    <w:name w:val="图片~"/>
    <w:basedOn w:val="1"/>
    <w:qFormat/>
    <w:uiPriority w:val="0"/>
    <w:pPr>
      <w:contextualSpacing/>
      <w:jc w:val="center"/>
    </w:pPr>
    <w:rPr>
      <w:rFonts w:ascii="黑体" w:hAnsi="黑体" w:eastAsia="黑体" w:cs="Times New Roman"/>
      <w:color w:val="000000"/>
      <w:kern w:val="0"/>
      <w:sz w:val="24"/>
      <w:szCs w:val="21"/>
      <w:lang w:bidi="en-US"/>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theme" Target="theme/theme1.xml"/><Relationship Id="rId17" Type="http://schemas.openxmlformats.org/officeDocument/2006/relationships/header" Target="header10.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123</Pages>
  <Words>11112</Words>
  <Characters>63340</Characters>
  <Lines>527</Lines>
  <Paragraphs>148</Paragraphs>
  <TotalTime>31</TotalTime>
  <ScaleCrop>false</ScaleCrop>
  <LinksUpToDate>false</LinksUpToDate>
  <CharactersWithSpaces>74304</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2021-11-02T15:21:00Z</dcterms:created>
  <dc:creator>陆非</dc:creator>
  <cp:lastModifiedBy>刘玲</cp:lastModifiedBy>
  <cp:lastPrinted>2021-11-04T10:42:00Z</cp:lastPrinted>
  <dcterms:modified xsi:type="dcterms:W3CDTF">2023-01-04T08:50:23Z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y fmtid="{D5CDD505-2E9C-101B-9397-08002B2CF9AE}" pid="3" name="KSOSaveFontToCloudKey">
    <vt:lpwstr>260312367_embed</vt:lpwstr>
  </property>
</Properties>
</file>