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default" w:ascii="Times New Roman" w:hAnsi="Times New Roman" w:cs="Times New Roman" w:eastAsiaTheme="minor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 w:eastAsiaTheme="minorEastAsia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center" w:pos="4482"/>
          <w:tab w:val="right" w:pos="88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default" w:ascii="Times New Roman" w:hAnsi="Times New Roman" w:cs="Times New Roman" w:eastAsiaTheme="majorEastAsia"/>
          <w:i w:val="0"/>
          <w:caps w:val="0"/>
          <w:color w:val="auto"/>
          <w:spacing w:val="0"/>
          <w:sz w:val="44"/>
          <w:szCs w:val="44"/>
          <w:shd w:val="clear" w:fill="FFFFFF"/>
          <w:lang w:val="en-US" w:eastAsia="zh-CN"/>
        </w:rPr>
      </w:pPr>
      <w:r>
        <w:rPr>
          <w:rFonts w:hint="default" w:ascii="Times New Roman" w:hAnsi="Times New Roman" w:cs="Times New Roman" w:eastAsiaTheme="majorEastAsia"/>
          <w:i w:val="0"/>
          <w:caps w:val="0"/>
          <w:color w:val="auto"/>
          <w:spacing w:val="0"/>
          <w:sz w:val="44"/>
          <w:szCs w:val="44"/>
          <w:shd w:val="clear" w:fill="FFFFFF"/>
          <w:lang w:val="en-US" w:eastAsia="zh-CN"/>
        </w:rPr>
        <w:t>元谋县人民政府关于调整元谋县畜禽养殖</w:t>
      </w:r>
    </w:p>
    <w:p>
      <w:pPr>
        <w:keepNext w:val="0"/>
        <w:keepLines w:val="0"/>
        <w:pageBreakBefore w:val="0"/>
        <w:widowControl w:val="0"/>
        <w:tabs>
          <w:tab w:val="center" w:pos="4482"/>
          <w:tab w:val="right" w:pos="88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default" w:ascii="Times New Roman" w:hAnsi="Times New Roman" w:cs="Times New Roman" w:eastAsiaTheme="majorEastAsia"/>
          <w:i w:val="0"/>
          <w:caps w:val="0"/>
          <w:color w:val="auto"/>
          <w:spacing w:val="0"/>
          <w:sz w:val="44"/>
          <w:szCs w:val="44"/>
          <w:shd w:val="clear" w:fill="FFFFFF"/>
          <w:lang w:val="en-US" w:eastAsia="zh-CN"/>
        </w:rPr>
      </w:pPr>
      <w:r>
        <w:rPr>
          <w:rFonts w:hint="default" w:ascii="Times New Roman" w:hAnsi="Times New Roman" w:cs="Times New Roman" w:eastAsiaTheme="majorEastAsia"/>
          <w:i w:val="0"/>
          <w:caps w:val="0"/>
          <w:color w:val="auto"/>
          <w:spacing w:val="0"/>
          <w:sz w:val="44"/>
          <w:szCs w:val="44"/>
          <w:shd w:val="clear" w:fill="FFFFFF"/>
          <w:lang w:val="en-US" w:eastAsia="zh-CN"/>
        </w:rPr>
        <w:t>禁养区限养区的决定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  <w:t>元政规〔202</w:t>
      </w:r>
      <w:r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  <w:t>〕</w:t>
      </w:r>
      <w:r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default" w:ascii="Times New Roman" w:hAnsi="Times New Roman" w:eastAsia="楷体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各乡镇人民政府，县级有关部门：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bottom"/>
        <w:rPr>
          <w:rFonts w:hint="default" w:ascii="Times New Roman" w:hAnsi="Times New Roman" w:eastAsia="仿宋_GB2312" w:cs="Times New Roman"/>
          <w:color w:val="auto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pacing w:val="0"/>
          <w:sz w:val="32"/>
          <w:szCs w:val="32"/>
          <w:lang w:eastAsia="zh-CN"/>
        </w:rPr>
        <w:t>为建设生态文明、加强生态环境保护、提高可持续发展能力，促进元谋县畜禽养殖合理布局，推动畜牧业持续健康发展，根据《生态环境部办公厅、农业农村部办公厅〈关于进一步规范畜禽养殖禁养区划定和管理促进生猪生产发展〉的通知》《中华人民共和国生态环境部办公厅〈关于进一步规范畜禽养殖禁养区管理〉的通知》等有关规定。对元谋县畜禽养殖禁养区限养区进行部分调整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bottom"/>
        <w:rPr>
          <w:rFonts w:hint="default" w:ascii="Times New Roman" w:hAnsi="Times New Roman" w:eastAsia="仿宋_GB2312" w:cs="Times New Roman"/>
          <w:color w:val="auto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pacing w:val="0"/>
          <w:sz w:val="32"/>
          <w:szCs w:val="32"/>
          <w:lang w:eastAsia="zh-CN"/>
        </w:rPr>
        <w:t>（一）将元谋县风景名胜区浪巴铺景区部分核心区（位于新华乡河尾水库旁，原元谋县浪巴铺土林自然保护区）0.4038平方千米由限养区划入禁养区，全县禁养区面积由91.959平方千米增加至92.3628平方千米，限养区面积由246.566平方千米调减为246.1622平方千米，其中元谋风景名胜区浪巴铺景区禁养区面积为15.0928平方千米、限养区面积为13.2372平方千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bottom"/>
        <w:rPr>
          <w:rFonts w:hint="default" w:ascii="Times New Roman" w:hAnsi="Times New Roman" w:eastAsia="仿宋_GB2312" w:cs="Times New Roman"/>
          <w:color w:val="auto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pacing w:val="0"/>
          <w:sz w:val="32"/>
          <w:szCs w:val="32"/>
          <w:lang w:eastAsia="zh-CN"/>
        </w:rPr>
        <w:t>（二）其它禁养区、限养区划定区域仍按《元谋县畜禽养殖禁养区限养区划定调整方案》（元政规〔2020〕3号）保持不变。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bottom"/>
        <w:rPr>
          <w:rFonts w:hint="default" w:ascii="Times New Roman" w:hAnsi="Times New Roman" w:eastAsia="仿宋_GB2312" w:cs="Times New Roman"/>
          <w:color w:val="auto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pacing w:val="0"/>
          <w:sz w:val="32"/>
          <w:szCs w:val="32"/>
          <w:lang w:val="en-US" w:eastAsia="zh-CN"/>
        </w:rPr>
        <w:t>本决定自公布之日起执行。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bottom"/>
        <w:rPr>
          <w:rFonts w:hint="default" w:ascii="Times New Roman" w:hAnsi="Times New Roman" w:eastAsia="仿宋_GB2312" w:cs="Times New Roman"/>
          <w:color w:val="auto"/>
          <w:spacing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bottom"/>
        <w:rPr>
          <w:rFonts w:hint="default" w:ascii="Times New Roman" w:hAnsi="Times New Roman" w:eastAsia="仿宋_GB2312" w:cs="Times New Roman"/>
          <w:color w:val="auto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pacing w:val="0"/>
          <w:sz w:val="32"/>
          <w:szCs w:val="32"/>
          <w:lang w:val="en-US" w:eastAsia="zh-CN"/>
        </w:rPr>
        <w:t>附件：1.元谋县畜禽养殖禁养区划定调整范围明细表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1600" w:firstLineChars="500"/>
        <w:jc w:val="both"/>
        <w:textAlignment w:val="bottom"/>
        <w:rPr>
          <w:rFonts w:hint="default" w:ascii="Times New Roman" w:hAnsi="Times New Roman" w:eastAsia="仿宋_GB2312" w:cs="Times New Roman"/>
          <w:color w:val="auto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pacing w:val="0"/>
          <w:sz w:val="32"/>
          <w:szCs w:val="32"/>
          <w:lang w:val="en-US" w:eastAsia="zh-CN"/>
        </w:rPr>
        <w:t>2.原新华乡禁养区限养区范围图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1600" w:firstLineChars="500"/>
        <w:jc w:val="both"/>
        <w:textAlignment w:val="bottom"/>
        <w:rPr>
          <w:rFonts w:hint="default" w:ascii="Times New Roman" w:hAnsi="Times New Roman" w:eastAsia="仿宋_GB2312" w:cs="Times New Roman"/>
          <w:color w:val="auto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pacing w:val="0"/>
          <w:sz w:val="32"/>
          <w:szCs w:val="32"/>
          <w:lang w:val="en-US" w:eastAsia="zh-CN"/>
        </w:rPr>
        <w:t>3.新华乡禁养区调整示意图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bottom"/>
        <w:rPr>
          <w:rFonts w:hint="default" w:ascii="Times New Roman" w:hAnsi="Times New Roman" w:eastAsia="仿宋_GB2312" w:cs="Times New Roman"/>
          <w:color w:val="auto"/>
          <w:spacing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800" w:firstLineChars="1500"/>
        <w:jc w:val="both"/>
        <w:textAlignment w:val="bottom"/>
        <w:rPr>
          <w:rFonts w:hint="default" w:ascii="Times New Roman" w:hAnsi="Times New Roman" w:eastAsia="仿宋_GB2312" w:cs="Times New Roman"/>
          <w:color w:val="auto"/>
          <w:spacing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800" w:firstLineChars="1500"/>
        <w:jc w:val="both"/>
        <w:textAlignment w:val="bottom"/>
        <w:rPr>
          <w:rFonts w:hint="default" w:ascii="Times New Roman" w:hAnsi="Times New Roman" w:eastAsia="仿宋_GB2312" w:cs="Times New Roman"/>
          <w:color w:val="auto"/>
          <w:spacing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pacing w:val="0"/>
          <w:sz w:val="32"/>
          <w:szCs w:val="32"/>
        </w:rPr>
        <w:t>20</w:t>
      </w:r>
      <w:r>
        <w:rPr>
          <w:rFonts w:hint="default" w:ascii="Times New Roman" w:hAnsi="Times New Roman" w:eastAsia="仿宋_GB2312" w:cs="Times New Roman"/>
          <w:color w:val="auto"/>
          <w:spacing w:val="0"/>
          <w:sz w:val="32"/>
          <w:szCs w:val="32"/>
          <w:lang w:val="en-US" w:eastAsia="zh-CN"/>
        </w:rPr>
        <w:t>24</w:t>
      </w:r>
      <w:r>
        <w:rPr>
          <w:rFonts w:hint="default" w:ascii="Times New Roman" w:hAnsi="Times New Roman" w:eastAsia="仿宋_GB2312" w:cs="Times New Roman"/>
          <w:color w:val="auto"/>
          <w:spacing w:val="0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color w:val="auto"/>
          <w:spacing w:val="0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color w:val="auto"/>
          <w:spacing w:val="0"/>
          <w:sz w:val="32"/>
          <w:szCs w:val="32"/>
        </w:rPr>
        <w:t>月</w:t>
      </w:r>
      <w:r>
        <w:rPr>
          <w:rFonts w:hint="default" w:ascii="Times New Roman" w:hAnsi="Times New Roman" w:eastAsia="仿宋_GB2312" w:cs="Times New Roman"/>
          <w:color w:val="auto"/>
          <w:spacing w:val="0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color w:val="auto"/>
          <w:spacing w:val="0"/>
          <w:sz w:val="32"/>
          <w:szCs w:val="32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（此件公开发布）</w:t>
      </w: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2"/>
        <w:rPr>
          <w:rFonts w:hint="default" w:ascii="Times New Roman" w:hAnsi="Times New Roman" w:cs="Times New Roman"/>
          <w:lang w:val="en-US" w:eastAsia="zh-CN"/>
        </w:rPr>
      </w:pPr>
    </w:p>
    <w:p>
      <w:pPr>
        <w:pStyle w:val="3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2"/>
        <w:rPr>
          <w:rFonts w:hint="default" w:ascii="Times New Roman" w:hAnsi="Times New Roman" w:cs="Times New Roman"/>
          <w:lang w:val="en-US" w:eastAsia="zh-CN"/>
        </w:rPr>
      </w:pPr>
    </w:p>
    <w:p>
      <w:pPr>
        <w:pStyle w:val="3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2"/>
        <w:rPr>
          <w:rFonts w:hint="default" w:ascii="Times New Roman" w:hAnsi="Times New Roman" w:cs="Times New Roman"/>
          <w:lang w:val="en-US" w:eastAsia="zh-CN"/>
        </w:rPr>
      </w:pPr>
    </w:p>
    <w:p>
      <w:pPr>
        <w:pStyle w:val="3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2"/>
        <w:rPr>
          <w:rFonts w:hint="default" w:ascii="Times New Roman" w:hAnsi="Times New Roman" w:cs="Times New Roman"/>
          <w:lang w:val="en-US" w:eastAsia="zh-CN"/>
        </w:rPr>
      </w:pPr>
    </w:p>
    <w:p>
      <w:pPr>
        <w:pStyle w:val="3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spacing w:line="360" w:lineRule="auto"/>
        <w:jc w:val="both"/>
        <w:rPr>
          <w:rFonts w:hint="default" w:ascii="Times New Roman" w:hAnsi="Times New Roman" w:eastAsia="黑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黑体" w:cs="Times New Roman"/>
          <w:sz w:val="32"/>
          <w:szCs w:val="32"/>
        </w:rPr>
        <w:t>附件</w:t>
      </w:r>
      <w:r>
        <w:rPr>
          <w:rFonts w:hint="default" w:ascii="Times New Roman" w:hAnsi="Times New Roman" w:eastAsia="方正黑体" w:cs="Times New Roman"/>
          <w:sz w:val="32"/>
          <w:szCs w:val="32"/>
          <w:lang w:val="en-US" w:eastAsia="zh-CN"/>
        </w:rPr>
        <w:t>1</w:t>
      </w:r>
    </w:p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元谋县畜禽养殖禁养区划定调整范围明细表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元谋县风景名胜区浪巴铺景区部分核心区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禁养区范围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原元谋县浪巴铺土林自然保护区）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，面积0.4038km²。</w:t>
      </w:r>
    </w:p>
    <w:tbl>
      <w:tblPr>
        <w:tblStyle w:val="10"/>
        <w:tblpPr w:leftFromText="180" w:rightFromText="180" w:vertAnchor="text" w:horzAnchor="page" w:tblpX="2253" w:tblpY="448"/>
        <w:tblOverlap w:val="never"/>
        <w:tblW w:w="766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4" w:space="0"/>
          <w:insideV w:val="non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9"/>
        <w:gridCol w:w="2802"/>
        <w:gridCol w:w="36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219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</w:rPr>
              <w:t>编号</w:t>
            </w:r>
          </w:p>
        </w:tc>
        <w:tc>
          <w:tcPr>
            <w:tcW w:w="2802" w:type="dxa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</w:rPr>
              <w:t>经度</w:t>
            </w:r>
          </w:p>
        </w:tc>
        <w:tc>
          <w:tcPr>
            <w:tcW w:w="3642" w:type="dxa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</w:rPr>
              <w:t>纬度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19" w:type="dxa"/>
            <w:tcBorders>
              <w:top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</w:rPr>
              <w:t>1</w:t>
            </w:r>
          </w:p>
        </w:tc>
        <w:tc>
          <w:tcPr>
            <w:tcW w:w="28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101°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4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1′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1.0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″</w:t>
            </w:r>
          </w:p>
        </w:tc>
        <w:tc>
          <w:tcPr>
            <w:tcW w:w="3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25°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42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′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51.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0″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219" w:type="dxa"/>
            <w:tcBorders>
              <w:top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</w:rPr>
              <w:t>2</w:t>
            </w:r>
          </w:p>
        </w:tc>
        <w:tc>
          <w:tcPr>
            <w:tcW w:w="28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101°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41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′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23.2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″</w:t>
            </w:r>
          </w:p>
        </w:tc>
        <w:tc>
          <w:tcPr>
            <w:tcW w:w="3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25°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42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′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49.6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219" w:type="dxa"/>
            <w:tcBorders>
              <w:top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</w:rPr>
              <w:t>3</w:t>
            </w:r>
          </w:p>
        </w:tc>
        <w:tc>
          <w:tcPr>
            <w:tcW w:w="28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101°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41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′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31.5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″</w:t>
            </w:r>
          </w:p>
        </w:tc>
        <w:tc>
          <w:tcPr>
            <w:tcW w:w="3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25°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42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′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45.4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219" w:type="dxa"/>
            <w:tcBorders>
              <w:top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</w:rPr>
              <w:t>4</w:t>
            </w:r>
          </w:p>
        </w:tc>
        <w:tc>
          <w:tcPr>
            <w:tcW w:w="28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101°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41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′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36.1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″</w:t>
            </w:r>
          </w:p>
        </w:tc>
        <w:tc>
          <w:tcPr>
            <w:tcW w:w="3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25°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42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′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46.0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219" w:type="dxa"/>
            <w:tcBorders>
              <w:top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</w:rPr>
              <w:t>5</w:t>
            </w:r>
          </w:p>
        </w:tc>
        <w:tc>
          <w:tcPr>
            <w:tcW w:w="28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101°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41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′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42.2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″</w:t>
            </w:r>
          </w:p>
        </w:tc>
        <w:tc>
          <w:tcPr>
            <w:tcW w:w="3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25°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42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′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42.0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219" w:type="dxa"/>
            <w:tcBorders>
              <w:top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</w:rPr>
              <w:t>6</w:t>
            </w:r>
          </w:p>
        </w:tc>
        <w:tc>
          <w:tcPr>
            <w:tcW w:w="28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101°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41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′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37.2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″</w:t>
            </w:r>
          </w:p>
        </w:tc>
        <w:tc>
          <w:tcPr>
            <w:tcW w:w="3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25°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42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′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38.0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219" w:type="dxa"/>
            <w:tcBorders>
              <w:top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</w:rPr>
              <w:t>7</w:t>
            </w:r>
          </w:p>
        </w:tc>
        <w:tc>
          <w:tcPr>
            <w:tcW w:w="28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101°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41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′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15.9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″</w:t>
            </w:r>
          </w:p>
        </w:tc>
        <w:tc>
          <w:tcPr>
            <w:tcW w:w="3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25°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42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′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38.0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219" w:type="dxa"/>
            <w:tcBorders>
              <w:top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</w:rPr>
              <w:t>8</w:t>
            </w:r>
          </w:p>
        </w:tc>
        <w:tc>
          <w:tcPr>
            <w:tcW w:w="28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101°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41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′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1.6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″</w:t>
            </w:r>
          </w:p>
        </w:tc>
        <w:tc>
          <w:tcPr>
            <w:tcW w:w="3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25°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42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′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40.4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219" w:type="dxa"/>
            <w:tcBorders>
              <w:top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</w:rPr>
              <w:t>9</w:t>
            </w:r>
          </w:p>
        </w:tc>
        <w:tc>
          <w:tcPr>
            <w:tcW w:w="28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101°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40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′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58.5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″</w:t>
            </w:r>
          </w:p>
        </w:tc>
        <w:tc>
          <w:tcPr>
            <w:tcW w:w="3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25°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42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′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42.5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219" w:type="dxa"/>
            <w:tcBorders>
              <w:top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</w:rPr>
              <w:t>10</w:t>
            </w:r>
          </w:p>
        </w:tc>
        <w:tc>
          <w:tcPr>
            <w:tcW w:w="28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101°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40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′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55.2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″</w:t>
            </w:r>
          </w:p>
        </w:tc>
        <w:tc>
          <w:tcPr>
            <w:tcW w:w="3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25°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42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′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42.1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219" w:type="dxa"/>
            <w:tcBorders>
              <w:top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</w:rPr>
              <w:t>11</w:t>
            </w:r>
          </w:p>
        </w:tc>
        <w:tc>
          <w:tcPr>
            <w:tcW w:w="28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101°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40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′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54.8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″</w:t>
            </w:r>
          </w:p>
        </w:tc>
        <w:tc>
          <w:tcPr>
            <w:tcW w:w="3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25°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42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′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47.6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″</w:t>
            </w:r>
          </w:p>
        </w:tc>
      </w:tr>
    </w:tbl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方正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" w:cs="Times New Roman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方正黑体" w:cs="Times New Roman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黑体" w:cs="Times New Roman"/>
          <w:sz w:val="32"/>
          <w:szCs w:val="32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原新华乡禁养区限养区范围图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textAlignment w:val="auto"/>
        <w:rPr>
          <w:rFonts w:hint="default" w:ascii="Times New Roman" w:hAnsi="Times New Roman" w:eastAsia="方正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宋体" w:cs="Times New Roman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126365</wp:posOffset>
            </wp:positionV>
            <wp:extent cx="5484495" cy="6337935"/>
            <wp:effectExtent l="0" t="0" r="1905" b="5715"/>
            <wp:wrapSquare wrapText="bothSides"/>
            <wp:docPr id="19" name="图片 14" descr="f5029700273d4f14be87a5d82bbc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 descr="f5029700273d4f14be87a5d82bbced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633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br w:type="column"/>
      </w:r>
      <w:r>
        <w:rPr>
          <w:rFonts w:hint="default" w:ascii="Times New Roman" w:hAnsi="Times New Roman" w:eastAsia="方正黑体" w:cs="Times New Roman"/>
          <w:sz w:val="32"/>
          <w:szCs w:val="32"/>
          <w:lang w:val="en-US" w:eastAsia="zh-CN"/>
        </w:rPr>
        <w:t>附件3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新华乡禁养区调整示意图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880745</wp:posOffset>
            </wp:positionH>
            <wp:positionV relativeFrom="paragraph">
              <wp:posOffset>-1618615</wp:posOffset>
            </wp:positionV>
            <wp:extent cx="3779520" cy="7198995"/>
            <wp:effectExtent l="0" t="0" r="1905" b="11430"/>
            <wp:wrapNone/>
            <wp:docPr id="21" name="图片 13" descr="e642a36ca6f5c3103e64763f2728f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 descr="e642a36ca6f5c3103e64763f2728f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9520" cy="719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962" w:right="1474" w:bottom="1848" w:left="1587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left="4788" w:leftChars="2280" w:firstLine="6400" w:firstLineChars="2000"/>
      <w:rPr>
        <w:rFonts w:hint="eastAsia" w:eastAsia="仿宋"/>
        <w:sz w:val="32"/>
        <w:szCs w:val="48"/>
        <w:lang w:val="en-US" w:eastAsia="zh-CN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ObJgco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 xml:space="preserve">  </w:t>
    </w:r>
  </w:p>
  <w:p>
    <w:pPr>
      <w:pStyle w:val="2"/>
      <w:wordWrap w:val="0"/>
      <w:ind w:left="4788" w:leftChars="2280" w:firstLine="6400" w:firstLineChars="2000"/>
      <w:jc w:val="right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</w:pPr>
    <w:r>
      <w:rPr>
        <w:color w:val="FAFAFA"/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74295</wp:posOffset>
              </wp:positionV>
              <wp:extent cx="5616575" cy="1905"/>
              <wp:effectExtent l="0" t="10795" r="3175" b="15875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6575" cy="1905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.85pt;height:0.15pt;width:442.25pt;z-index:251661312;mso-width-relative:page;mso-height-relative:page;" filled="f" stroked="t" coordsize="21600,21600" o:gfxdata="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OnpdHUAAAABgEAAA8AAAAAAAAAAQAgAAAAIgAAAGRycy9k&#10;b3ducmV2LnhtbFBLAQIUABQAAAAIAIdO4kCuozrgzQEAAGcDAAAOAAAAAAAAAAEAIAAAACMBAABk&#10;cnMvZTJvRG9jLnhtbFBLBQYAAAAABgAGAFkBAABiBQAAAAA=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eastAsia="仿宋"/>
        <w:color w:val="FAFAFA"/>
        <w:sz w:val="32"/>
        <w:szCs w:val="48"/>
        <w:lang w:val="en-US" w:eastAsia="zh-CN"/>
      </w:rPr>
      <w:t>X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 xml:space="preserve">元谋县人民政府发布     </w:t>
    </w:r>
  </w:p>
  <w:p>
    <w:pPr>
      <w:pStyle w:val="2"/>
      <w:wordWrap w:val="0"/>
      <w:ind w:left="4788" w:leftChars="2280" w:firstLine="5622" w:firstLineChars="2000"/>
      <w:jc w:val="right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宋体" w:hAnsi="宋体" w:eastAsia="宋体" w:cs="宋体"/>
        <w:b/>
        <w:bCs/>
        <w:color w:val="005192"/>
        <w:sz w:val="32"/>
      </w:rPr>
    </w:pPr>
    <w:r>
      <w:rPr>
        <w:rFonts w:hint="eastAsia" w:ascii="宋体" w:hAnsi="宋体" w:eastAsia="宋体" w:cs="宋体"/>
        <w:b/>
        <w:bCs/>
        <w:color w:val="005192"/>
        <w:sz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-3810</wp:posOffset>
              </wp:positionH>
              <wp:positionV relativeFrom="paragraph">
                <wp:posOffset>690245</wp:posOffset>
              </wp:positionV>
              <wp:extent cx="5620385" cy="0"/>
              <wp:effectExtent l="0" t="12700" r="18415" b="15875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133850" y="864870"/>
                        <a:ext cx="5620385" cy="0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3pt;margin-top:54.35pt;height:0pt;width:442.55pt;z-index:251660288;mso-width-relative:page;mso-height-relative:page;" filled="f" stroked="t" coordsize="21600,21600" o:gfxdata="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1EdA1tUAAAAJAQAADwAAAAAAAAABACAA&#10;AAAiAAAAZHJzL2Rvd25yZXYueG1sUEsBAhQAFAAAAAgAh07iQOPuMRnXAQAAbwMAAA4AAAAAAAAA&#10;AQAgAAAAJAEAAGRycy9lMm9Eb2MueG1sUEsFBgAAAAAGAAYAWQEAAG0FAAAAAA==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</w:p>
  <w:p>
    <w:pPr>
      <w:pStyle w:val="2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11430" b="11430"/>
          <wp:docPr id="6" name="图片 6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CN"/>
      </w:rPr>
      <w:t>元谋县人民政府行政规范性文件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19E71BD"/>
    <w:rsid w:val="04A65D40"/>
    <w:rsid w:val="04B679C3"/>
    <w:rsid w:val="059C184B"/>
    <w:rsid w:val="080F63D8"/>
    <w:rsid w:val="092736CC"/>
    <w:rsid w:val="09341458"/>
    <w:rsid w:val="0B0912D7"/>
    <w:rsid w:val="0CFF14BD"/>
    <w:rsid w:val="0E426EFF"/>
    <w:rsid w:val="0E462381"/>
    <w:rsid w:val="12600A42"/>
    <w:rsid w:val="152D2DCA"/>
    <w:rsid w:val="17765DB7"/>
    <w:rsid w:val="1B2A3078"/>
    <w:rsid w:val="1B70186F"/>
    <w:rsid w:val="1C060AD2"/>
    <w:rsid w:val="1D5E2951"/>
    <w:rsid w:val="1DEC284C"/>
    <w:rsid w:val="1E6523AC"/>
    <w:rsid w:val="21B6085C"/>
    <w:rsid w:val="22440422"/>
    <w:rsid w:val="28B24999"/>
    <w:rsid w:val="28FF2E76"/>
    <w:rsid w:val="2A473B36"/>
    <w:rsid w:val="2DD277F4"/>
    <w:rsid w:val="31A15F24"/>
    <w:rsid w:val="339C5932"/>
    <w:rsid w:val="34370F81"/>
    <w:rsid w:val="395347B5"/>
    <w:rsid w:val="39A232A0"/>
    <w:rsid w:val="39E745AA"/>
    <w:rsid w:val="3B5A6BBB"/>
    <w:rsid w:val="3EDA13A6"/>
    <w:rsid w:val="42F058B7"/>
    <w:rsid w:val="436109F6"/>
    <w:rsid w:val="441A38D4"/>
    <w:rsid w:val="46053EB3"/>
    <w:rsid w:val="474351C9"/>
    <w:rsid w:val="49B50E5B"/>
    <w:rsid w:val="4BC77339"/>
    <w:rsid w:val="4C9236C5"/>
    <w:rsid w:val="4D0B24B6"/>
    <w:rsid w:val="5009137E"/>
    <w:rsid w:val="505C172E"/>
    <w:rsid w:val="52F46F0B"/>
    <w:rsid w:val="53D8014D"/>
    <w:rsid w:val="55E064E0"/>
    <w:rsid w:val="572C6D10"/>
    <w:rsid w:val="585F5FF7"/>
    <w:rsid w:val="592965FA"/>
    <w:rsid w:val="59472460"/>
    <w:rsid w:val="5A647182"/>
    <w:rsid w:val="5DC34279"/>
    <w:rsid w:val="608816D1"/>
    <w:rsid w:val="60E26238"/>
    <w:rsid w:val="60EF4E7F"/>
    <w:rsid w:val="61EE112A"/>
    <w:rsid w:val="665233C1"/>
    <w:rsid w:val="6AD9688B"/>
    <w:rsid w:val="6C4B50CF"/>
    <w:rsid w:val="6D0E3F22"/>
    <w:rsid w:val="6EB50157"/>
    <w:rsid w:val="702916FA"/>
    <w:rsid w:val="729C7BF9"/>
    <w:rsid w:val="74A17A24"/>
    <w:rsid w:val="756C7218"/>
    <w:rsid w:val="7C9011D9"/>
    <w:rsid w:val="7DC651C5"/>
    <w:rsid w:val="7FCC283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iPriority="99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5">
    <w:name w:val="heading 2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cs="Times New Roman"/>
      <w:b/>
      <w:kern w:val="0"/>
      <w:sz w:val="36"/>
      <w:szCs w:val="36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next w:val="3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3">
    <w:name w:val="Intense Quote1"/>
    <w:next w:val="1"/>
    <w:qFormat/>
    <w:uiPriority w:val="99"/>
    <w:pPr>
      <w:wordWrap w:val="0"/>
      <w:spacing w:before="360" w:after="360"/>
      <w:ind w:left="950" w:right="950"/>
      <w:jc w:val="center"/>
    </w:pPr>
    <w:rPr>
      <w:rFonts w:ascii="Times New Roman" w:hAnsi="Times New Roman" w:eastAsia="宋体" w:cs="Times New Roman"/>
      <w:i/>
      <w:iCs/>
      <w:kern w:val="0"/>
      <w:sz w:val="21"/>
      <w:szCs w:val="21"/>
      <w:lang w:val="en-US" w:eastAsia="zh-CN" w:bidi="ar-SA"/>
    </w:rPr>
  </w:style>
  <w:style w:type="paragraph" w:styleId="6">
    <w:name w:val="table of authorities"/>
    <w:basedOn w:val="1"/>
    <w:next w:val="1"/>
    <w:unhideWhenUsed/>
    <w:qFormat/>
    <w:uiPriority w:val="99"/>
    <w:pPr>
      <w:ind w:left="420" w:leftChars="200"/>
    </w:pPr>
  </w:style>
  <w:style w:type="paragraph" w:styleId="7">
    <w:name w:val="annotation text"/>
    <w:basedOn w:val="1"/>
    <w:qFormat/>
    <w:uiPriority w:val="0"/>
    <w:pPr>
      <w:jc w:val="left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page number"/>
    <w:basedOn w:val="11"/>
    <w:uiPriority w:val="0"/>
  </w:style>
  <w:style w:type="paragraph" w:customStyle="1" w:styleId="13">
    <w:name w:val="vsbcontent_end"/>
    <w:basedOn w:val="1"/>
    <w:qFormat/>
    <w:uiPriority w:val="0"/>
    <w:pPr>
      <w:spacing w:line="432" w:lineRule="auto"/>
      <w:ind w:firstLine="420"/>
      <w:jc w:val="left"/>
    </w:pPr>
    <w:rPr>
      <w:kern w:val="0"/>
      <w:sz w:val="28"/>
      <w:szCs w:val="28"/>
      <w:lang w:val="en-US" w:eastAsia="zh-CN" w:bidi="ar"/>
    </w:rPr>
  </w:style>
  <w:style w:type="paragraph" w:customStyle="1" w:styleId="14">
    <w:name w:val="vsbcontent_start"/>
    <w:basedOn w:val="1"/>
    <w:qFormat/>
    <w:uiPriority w:val="0"/>
    <w:pPr>
      <w:spacing w:line="432" w:lineRule="auto"/>
      <w:ind w:firstLine="420"/>
      <w:jc w:val="left"/>
    </w:pPr>
    <w:rPr>
      <w:kern w:val="0"/>
      <w:sz w:val="28"/>
      <w:szCs w:val="28"/>
      <w:lang w:val="en-US" w:eastAsia="zh-CN" w:bidi="ar"/>
    </w:rPr>
  </w:style>
  <w:style w:type="paragraph" w:customStyle="1" w:styleId="15">
    <w:name w:val="BodyText"/>
    <w:basedOn w:val="1"/>
    <w:next w:val="1"/>
    <w:qFormat/>
    <w:uiPriority w:val="0"/>
    <w:pPr>
      <w:jc w:val="both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2476</Words>
  <Characters>2520</Characters>
  <Lines>1</Lines>
  <Paragraphs>1</Paragraphs>
  <TotalTime>5</TotalTime>
  <ScaleCrop>false</ScaleCrop>
  <LinksUpToDate>false</LinksUpToDate>
  <CharactersWithSpaces>2576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2021-09-09T02:41:00Z</dcterms:created>
  <dc:creator>t</dc:creator>
  <cp:lastModifiedBy>刘春丽</cp:lastModifiedBy>
  <cp:lastPrinted>2021-10-26T03:30:00Z</cp:lastPrinted>
  <dcterms:modified xsi:type="dcterms:W3CDTF">2024-07-17T01:06:43Z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48C61CB29D3F4D9384F5922CF0F7FFB4</vt:lpwstr>
  </property>
</Properties>
</file>