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元谋县</w:t>
      </w:r>
      <w:r>
        <w:rPr>
          <w:rFonts w:hint="eastAsia" w:ascii="方正小标宋简体" w:hAnsi="方正小标宋简体" w:eastAsia="方正小标宋简体" w:cs="方正小标宋简体"/>
          <w:sz w:val="44"/>
          <w:szCs w:val="44"/>
        </w:rPr>
        <w:t>社保基金预算收支说明</w:t>
      </w:r>
    </w:p>
    <w:p>
      <w:pPr>
        <w:ind w:firstLine="640" w:firstLineChars="20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Times New Roman" w:hAnsi="Times New Roman" w:eastAsia="仿宋_GB2312" w:cs="Times New Roman"/>
          <w:sz w:val="32"/>
          <w:szCs w:val="32"/>
          <w:lang w:val="en-US" w:eastAsia="zh-CN"/>
        </w:rPr>
        <w:t>2023</w:t>
      </w:r>
      <w:r>
        <w:rPr>
          <w:rFonts w:hint="eastAsia" w:ascii="黑体" w:hAnsi="黑体" w:eastAsia="黑体" w:cs="黑体"/>
          <w:b w:val="0"/>
          <w:bCs w:val="0"/>
          <w:sz w:val="32"/>
          <w:szCs w:val="32"/>
          <w:lang w:val="en-US" w:eastAsia="zh-CN"/>
        </w:rPr>
        <w:t>年社保基金决算口径变动情况</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sz w:val="32"/>
          <w:szCs w:val="32"/>
          <w:lang w:val="en-US" w:eastAsia="zh-CN"/>
        </w:rPr>
        <w:t>2023年按照《楚雄州人力资源和社会保障局楚雄州财政局关于企业职工基本养老保险省级统收统支资金有关问题的通知》（楚人社通）﹝2020﹞55号）和《楚雄州人力资源和社会保障局楚雄州财政局国家税务总局楚雄州税务局关于工伤保险基金省级统筹有关问题的的通知》（楚人社通）﹝2020﹞94号）要求，从2022年开始，企业职工基本养老保险、工伤保险省级实行基金统收统支，属省级预算；失业保险州级统筹，属州级预算，不纳入县级社会保险基金收支决算。</w:t>
      </w:r>
    </w:p>
    <w:p>
      <w:pPr>
        <w:numPr>
          <w:ilvl w:val="0"/>
          <w:numId w:val="0"/>
        </w:numPr>
        <w:ind w:firstLine="320" w:firstLineChars="1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二、</w:t>
      </w:r>
      <w:r>
        <w:rPr>
          <w:rFonts w:hint="eastAsia" w:ascii="Times New Roman" w:hAnsi="Times New Roman" w:eastAsia="仿宋_GB2312" w:cs="Times New Roman"/>
          <w:sz w:val="32"/>
          <w:szCs w:val="32"/>
          <w:lang w:val="en-US" w:eastAsia="zh-CN"/>
        </w:rPr>
        <w:t>2023</w:t>
      </w:r>
      <w:r>
        <w:rPr>
          <w:rFonts w:hint="eastAsia" w:ascii="黑体" w:hAnsi="黑体" w:eastAsia="黑体" w:cs="黑体"/>
          <w:b w:val="0"/>
          <w:bCs w:val="0"/>
          <w:sz w:val="32"/>
          <w:szCs w:val="32"/>
          <w:lang w:val="en-US" w:eastAsia="zh-CN"/>
        </w:rPr>
        <w:t>年社保基金收支情况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（一）2023年机关事业单位基本养老保险基金收入完成15,755万元，完成预算15,944万元的98.8%，比上年决算数13,834万元增加13.9%。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基本养老保险费收入完成13,776万元，完成预算14,030万元的98.2%，比上年决算数12,073万元增长14.1%。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财政补贴收入完成1,145万元，完成预算1,431万元的80%，比上年决算数1,431万元下降20%。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利息收入完成320万元，完成预算303万元的105.6%，比上年决算数75万元增长较大。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其他收入完成0万元，年初预算为0，上年决算数2万元。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转移收入完成514万元，完成预算180万元的285%，比上年决算数253万元增长103.2%。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（二）2023年机关事业单位基本养老保险基金支出完成14,745万元，完成预算15,040万元的98%，比上年决算数13,543万元增长9%。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1、养老保险待遇支出完成14,733万元，完成预算15,027万元的98%，比上年决算数13,529万元增长8.9%。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2、其他支出完成11万元，年初预算0万元，比上年决算数3万元增长较大。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3、转移支出完成1万元，完成预算13万元的8%，比上年决算数11下降91%。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（三）2023年城乡居民基本养老保险基金收入完成8,370万元，完成预算8,671万元的96.5%，比上年决算数10,781万元下降22%。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1、个人缴费收入完成2,107万元，完成预算2,612万元的81%，比上年决算数3,463万元下降39%。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2、财政补贴收入完成5,123万元，完成预算5,422万元的94%，比上年决算数4,823万元增长6.2%。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3、利息收入完成290万元，完成预算200万元的145%，比上年决算数337万元下降14%。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4、其他收入完成615万元，完成预算8万元的668%，比上年决算数7万元增长较大。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5、转移收入完成45万元，完成预算100万元的45%，比上年决算数2120万元下降较大。</w:t>
      </w:r>
    </w:p>
    <w:p>
      <w:pPr>
        <w:pStyle w:val="2"/>
        <w:ind w:firstLine="640" w:firstLineChars="200"/>
        <w:rPr>
          <w:rFonts w:hint="default"/>
          <w:lang w:val="en-US" w:eastAsia="zh-CN"/>
        </w:rPr>
      </w:pPr>
      <w:r>
        <w:rPr>
          <w:rFonts w:hint="eastAsia" w:ascii="Times New Roman" w:hAnsi="Times New Roman" w:eastAsia="仿宋_GB2312" w:cs="Times New Roman"/>
          <w:sz w:val="32"/>
          <w:szCs w:val="32"/>
          <w:lang w:val="en-US" w:eastAsia="zh-CN"/>
        </w:rPr>
        <w:t>6、委托投资收益完成190万元，完成预算330万元的58%，比上年决算数31万元增长较大。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（四）2023年城乡居民基本养老保险基金支出完成5,775万元，完成预算5,450万元的106%，比上年决算数4,652万元的增长24.1%。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1、基础养老金支出完成5,766万元，完成预算4,766万元的121%，比上年决算数4,646万元增长24.1%。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2、转移支出完成9万元，完成预算7万元的128.6%，比上年决算数6万元增长50%。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三、社会保险基金结余情况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2023年社会保险基金当年结余3,605万元，滚存结余38,809万元。其中：机关事业单位基本养老保险基金当年结余1,008万元，滚存结余12,582万元；城乡居民基本养老保险基金当年结余2,597万元，滚存结余26,227万元。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Times New Roman" w:hAnsi="Times New Roman" w:eastAsia="仿宋_GB2312" w:cs="Times New Roman"/>
          <w:sz w:val="32"/>
          <w:szCs w:val="32"/>
          <w:lang w:val="en-US" w:eastAsia="zh-CN"/>
        </w:rPr>
        <w:t>2022</w:t>
      </w:r>
      <w:r>
        <w:rPr>
          <w:rFonts w:hint="eastAsia" w:ascii="黑体" w:hAnsi="黑体" w:eastAsia="黑体" w:cs="黑体"/>
          <w:b w:val="0"/>
          <w:bCs w:val="0"/>
          <w:sz w:val="32"/>
          <w:szCs w:val="32"/>
          <w:lang w:val="en-US" w:eastAsia="zh-CN"/>
        </w:rPr>
        <w:t>年社保基金收支增减原因分析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（一）城乡居民基本养老保险收入增减原因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一是被征地农民缴费补贴记账规则的调整，2022年被征地农民缴费补贴1385.48万元列入个人缴费收入；二是随着扩面增效深入宣传深入，部分经济条件好的参保人共955人选择参加企业职工养老保险，暂停缴纳城乡养老保险，导致个人缴费收入比上年同期大幅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财政补贴收入：一是按工作要求，2023年我县进行了暂停领取待遇人员数据集中清理工作，死亡人数领取待遇达1830人，丧葬补助人数比2022年增加509人；二是基础养老金发放标准提高，丧葬补助标准由1416元提高到1476元，导致财政补贴收入同比增加。</w:t>
      </w:r>
    </w:p>
    <w:p>
      <w:pPr>
        <w:pStyle w:val="2"/>
        <w:rPr>
          <w:rFonts w:hint="default"/>
          <w:lang w:val="en-US" w:eastAsia="zh-CN"/>
        </w:rPr>
      </w:pPr>
      <w:r>
        <w:rPr>
          <w:rFonts w:hint="eastAsia" w:ascii="Times New Roman" w:hAnsi="Times New Roman" w:eastAsia="仿宋_GB2312" w:cs="Times New Roman"/>
          <w:sz w:val="32"/>
          <w:szCs w:val="32"/>
          <w:lang w:val="en-US" w:eastAsia="zh-CN"/>
        </w:rPr>
        <w:t xml:space="preserve">    3.转移收入比上年出现负增长的原因是：2022年60周岁以上被征地农民缴费补贴2115万元，2023年60周岁以上被征地农民参加城乡居民养老保险享受补贴记账规则调整，由原记“转移收入”调整到“其他收入”。2023年60周岁以上被征地农民缴费补贴没有在转移收入中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（二）城乡居民基本养老保险支出增减原因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一是自2023年1月起省级基础养老金发放标准由每人每月15元提高到20元，2023年7月起中央基础养老金发放标准由每人每月98元提高到103元；二是养老金发放人数增加，2023发放人数为34044人，比2022年32175人增加1869人。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（三）机关事业单位养老保险收入增减原因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1.2022年7月起机关事业单位人员奖励性绩效工资纳入缴费基数申报缴费，导致基本养老保险费收入增加。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2.财政补贴收入2022年拨入1431万元，2023年拨入1144万元，比上年同期数减少287万元。</w:t>
      </w:r>
    </w:p>
    <w:p>
      <w:pPr>
        <w:pStyle w:val="2"/>
        <w:numPr>
          <w:numId w:val="0"/>
        </w:numPr>
        <w:rPr>
          <w:rFonts w:hint="eastAsia" w:ascii="Times New Roman" w:hAnsi="Times New Roman" w:eastAsia="仿宋_GB2312" w:cs="Times New Roman"/>
          <w:sz w:val="32"/>
          <w:szCs w:val="32"/>
          <w:lang w:val="en-US" w:eastAsia="zh-CN"/>
        </w:rPr>
      </w:pPr>
      <w:r>
        <w:rPr>
          <w:rFonts w:hint="eastAsia"/>
          <w:lang w:val="en-US" w:eastAsia="zh-CN"/>
        </w:rPr>
        <w:t xml:space="preserve">      </w:t>
      </w:r>
      <w:r>
        <w:rPr>
          <w:rFonts w:hint="eastAsia" w:ascii="Times New Roman" w:hAnsi="Times New Roman" w:eastAsia="仿宋_GB2312" w:cs="Times New Roman"/>
          <w:kern w:val="2"/>
          <w:sz w:val="32"/>
          <w:szCs w:val="32"/>
          <w:lang w:val="en-US" w:eastAsia="zh-CN" w:bidi="ar-SA"/>
        </w:rPr>
        <w:t>3.转移性收入2023年企业及其他转移人数为148人，比2022年39人增加109人，导致收入比2022年大幅增长。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（四）机关事业单位养老保险支出增减原因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1.2023年新增退休144人，新招录用、调出调入净增98人，在职职工人数负增长。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heme="minorEastAsia" w:hAnsiTheme="minorEastAsia" w:eastAsiaTheme="minorEastAsia" w:cstheme="minorEastAsia"/>
          <w:sz w:val="32"/>
          <w:szCs w:val="32"/>
          <w:lang w:val="en-US" w:eastAsia="zh-CN"/>
        </w:rPr>
      </w:pPr>
      <w:r>
        <w:rPr>
          <w:rFonts w:hint="eastAsia" w:ascii="Times New Roman" w:hAnsi="Times New Roman" w:eastAsia="仿宋_GB2312" w:cs="Times New Roman"/>
          <w:sz w:val="32"/>
          <w:szCs w:val="32"/>
          <w:lang w:val="en-US" w:eastAsia="zh-CN"/>
        </w:rPr>
        <w:t>2.2023年清算2022年及以前年度退休“中人”养老金补发待遇208人、在职死亡及退休“中人”死亡清算个人账户养老金一次性支出25人。导致基本养老金支出比上年同期增长。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C7701"/>
    <w:rsid w:val="00AC4FAC"/>
    <w:rsid w:val="00E16418"/>
    <w:rsid w:val="031A6D26"/>
    <w:rsid w:val="03370606"/>
    <w:rsid w:val="03E64DD8"/>
    <w:rsid w:val="051270C3"/>
    <w:rsid w:val="05612C04"/>
    <w:rsid w:val="056A7EAF"/>
    <w:rsid w:val="057369C8"/>
    <w:rsid w:val="05814E6A"/>
    <w:rsid w:val="07B1277C"/>
    <w:rsid w:val="095C3D20"/>
    <w:rsid w:val="09EB4D13"/>
    <w:rsid w:val="0D091BE1"/>
    <w:rsid w:val="0D765D0F"/>
    <w:rsid w:val="0DA15110"/>
    <w:rsid w:val="0DED5FF6"/>
    <w:rsid w:val="0DF60637"/>
    <w:rsid w:val="0E5A6675"/>
    <w:rsid w:val="0E9A39AD"/>
    <w:rsid w:val="0EAC0F21"/>
    <w:rsid w:val="0F6D5BAD"/>
    <w:rsid w:val="1016553F"/>
    <w:rsid w:val="11574678"/>
    <w:rsid w:val="12D64C72"/>
    <w:rsid w:val="13D547F6"/>
    <w:rsid w:val="1446362F"/>
    <w:rsid w:val="14F95E60"/>
    <w:rsid w:val="15391821"/>
    <w:rsid w:val="161C01C6"/>
    <w:rsid w:val="164D6027"/>
    <w:rsid w:val="16D61542"/>
    <w:rsid w:val="17A05FDB"/>
    <w:rsid w:val="18975B65"/>
    <w:rsid w:val="198C7701"/>
    <w:rsid w:val="1B1726AD"/>
    <w:rsid w:val="1B9B7096"/>
    <w:rsid w:val="1BAC4384"/>
    <w:rsid w:val="1CE04D74"/>
    <w:rsid w:val="202E6B11"/>
    <w:rsid w:val="2036473A"/>
    <w:rsid w:val="21AA6E94"/>
    <w:rsid w:val="222529E5"/>
    <w:rsid w:val="22D34356"/>
    <w:rsid w:val="23B95511"/>
    <w:rsid w:val="2441584E"/>
    <w:rsid w:val="269D768C"/>
    <w:rsid w:val="271368B9"/>
    <w:rsid w:val="27657D42"/>
    <w:rsid w:val="2A2163D2"/>
    <w:rsid w:val="2A985231"/>
    <w:rsid w:val="2B602DB7"/>
    <w:rsid w:val="2C7C1DD1"/>
    <w:rsid w:val="2D5530D9"/>
    <w:rsid w:val="2E644996"/>
    <w:rsid w:val="2E9E1471"/>
    <w:rsid w:val="2EEB4345"/>
    <w:rsid w:val="30122806"/>
    <w:rsid w:val="30223FC7"/>
    <w:rsid w:val="306D5D9C"/>
    <w:rsid w:val="30F616F7"/>
    <w:rsid w:val="31C03269"/>
    <w:rsid w:val="31D26127"/>
    <w:rsid w:val="32DA74DD"/>
    <w:rsid w:val="34F459CA"/>
    <w:rsid w:val="35EA6B22"/>
    <w:rsid w:val="371339CB"/>
    <w:rsid w:val="375C0696"/>
    <w:rsid w:val="385C293A"/>
    <w:rsid w:val="39590AD9"/>
    <w:rsid w:val="3979744D"/>
    <w:rsid w:val="39C56756"/>
    <w:rsid w:val="3CC81095"/>
    <w:rsid w:val="3D7A3E4F"/>
    <w:rsid w:val="3DF6370A"/>
    <w:rsid w:val="3E613CC9"/>
    <w:rsid w:val="3EB81C8E"/>
    <w:rsid w:val="3F0A70D7"/>
    <w:rsid w:val="43C410AF"/>
    <w:rsid w:val="43DF10EA"/>
    <w:rsid w:val="441148DF"/>
    <w:rsid w:val="44B3725C"/>
    <w:rsid w:val="44B52F3D"/>
    <w:rsid w:val="4582122C"/>
    <w:rsid w:val="46666378"/>
    <w:rsid w:val="466C6CCA"/>
    <w:rsid w:val="46EC4E99"/>
    <w:rsid w:val="472F29CB"/>
    <w:rsid w:val="47C60B01"/>
    <w:rsid w:val="481C4B6B"/>
    <w:rsid w:val="4BCD41E7"/>
    <w:rsid w:val="4C6E0423"/>
    <w:rsid w:val="50051B40"/>
    <w:rsid w:val="508E77F5"/>
    <w:rsid w:val="50B522CC"/>
    <w:rsid w:val="52E4034E"/>
    <w:rsid w:val="53337B66"/>
    <w:rsid w:val="54516307"/>
    <w:rsid w:val="54E0496A"/>
    <w:rsid w:val="55BD3A86"/>
    <w:rsid w:val="55F03D2F"/>
    <w:rsid w:val="56506B21"/>
    <w:rsid w:val="567829F3"/>
    <w:rsid w:val="5744200C"/>
    <w:rsid w:val="576D7AB7"/>
    <w:rsid w:val="5B44044C"/>
    <w:rsid w:val="5DAF7EF7"/>
    <w:rsid w:val="5E660C00"/>
    <w:rsid w:val="5EDB5003"/>
    <w:rsid w:val="60351ED7"/>
    <w:rsid w:val="61FC2CB8"/>
    <w:rsid w:val="62BB3FB4"/>
    <w:rsid w:val="64561010"/>
    <w:rsid w:val="648E58EE"/>
    <w:rsid w:val="6639151E"/>
    <w:rsid w:val="6692462A"/>
    <w:rsid w:val="669F7460"/>
    <w:rsid w:val="67525D5D"/>
    <w:rsid w:val="689E4A36"/>
    <w:rsid w:val="69A91DD5"/>
    <w:rsid w:val="69AB2BE7"/>
    <w:rsid w:val="69B25C51"/>
    <w:rsid w:val="69D9607C"/>
    <w:rsid w:val="6AC16EB3"/>
    <w:rsid w:val="6B89279D"/>
    <w:rsid w:val="6DC85FB1"/>
    <w:rsid w:val="6E174E15"/>
    <w:rsid w:val="6EDF1609"/>
    <w:rsid w:val="718755D4"/>
    <w:rsid w:val="73BE6B1F"/>
    <w:rsid w:val="73F361B6"/>
    <w:rsid w:val="74200EEF"/>
    <w:rsid w:val="744C0511"/>
    <w:rsid w:val="744F45A2"/>
    <w:rsid w:val="761D63B2"/>
    <w:rsid w:val="7691445A"/>
    <w:rsid w:val="78D07DA7"/>
    <w:rsid w:val="796F7139"/>
    <w:rsid w:val="7B183868"/>
    <w:rsid w:val="7BFC1ED4"/>
    <w:rsid w:val="7CBC36AE"/>
    <w:rsid w:val="7F922AB7"/>
    <w:rsid w:val="7FEC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2020-10-12T09:16:00Z</dcterms:created>
  <dc:creator>Administrator</dc:creator>
  <cp:lastModifiedBy>白正德</cp:lastModifiedBy>
  <dcterms:modified xsi:type="dcterms:W3CDTF">2024-09-05T08:37:23Z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