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黑体" w:eastAsia="方正小标宋简体"/>
          <w:b/>
          <w:bCs/>
          <w:color w:val="333333"/>
          <w:sz w:val="44"/>
          <w:szCs w:val="44"/>
          <w:shd w:val="clear" w:color="auto" w:fill="FFFFFF"/>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平田乡</w:t>
      </w:r>
      <w:r>
        <w:rPr>
          <w:rFonts w:hint="eastAsia" w:ascii="方正小标宋简体" w:hAnsi="方正小标宋简体" w:eastAsia="方正小标宋简体" w:cs="方正小标宋简体"/>
          <w:sz w:val="44"/>
          <w:szCs w:val="44"/>
        </w:rPr>
        <w:t>国土空间</w:t>
      </w:r>
      <w:r>
        <w:rPr>
          <w:rFonts w:hint="eastAsia" w:ascii="方正小标宋简体" w:hAnsi="方正小标宋简体" w:eastAsia="方正小标宋简体" w:cs="方正小标宋简体"/>
          <w:sz w:val="44"/>
          <w:szCs w:val="44"/>
          <w:lang w:eastAsia="zh-CN"/>
        </w:rPr>
        <w:t>总体</w:t>
      </w:r>
      <w:r>
        <w:rPr>
          <w:rFonts w:hint="eastAsia" w:ascii="方正小标宋简体" w:hAnsi="方正小标宋简体" w:eastAsia="方正小标宋简体" w:cs="方正小标宋简体"/>
          <w:sz w:val="44"/>
          <w:szCs w:val="44"/>
        </w:rPr>
        <w:t>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b/>
          <w:bCs/>
          <w:color w:val="333333"/>
          <w:sz w:val="44"/>
          <w:szCs w:val="44"/>
          <w:shd w:val="clear" w:color="auto" w:fill="FFFFFF"/>
        </w:rPr>
      </w:pPr>
      <w:r>
        <w:rPr>
          <w:rFonts w:hint="eastAsia" w:ascii="方正小标宋简体" w:hAnsi="方正小标宋简体" w:eastAsia="方正小标宋简体" w:cs="方正小标宋简体"/>
          <w:sz w:val="44"/>
          <w:szCs w:val="44"/>
        </w:rPr>
        <w:t>( 2021-2035年)》公众征求意见</w:t>
      </w:r>
      <w:r>
        <w:rPr>
          <w:rFonts w:hint="eastAsia" w:ascii="方正小标宋简体" w:hAnsi="方正小标宋简体" w:eastAsia="方正小标宋简体" w:cs="方正小标宋简体"/>
          <w:sz w:val="44"/>
          <w:szCs w:val="44"/>
          <w:lang w:eastAsia="zh-CN"/>
        </w:rPr>
        <w:t>稿</w:t>
      </w:r>
      <w:r>
        <w:rPr>
          <w:rFonts w:hint="eastAsia" w:ascii="方正小标宋简体" w:hAnsi="黑体" w:eastAsia="方正小标宋简体"/>
          <w:b/>
          <w:bCs/>
          <w:color w:val="333333"/>
          <w:sz w:val="44"/>
          <w:szCs w:val="44"/>
          <w:shd w:val="clear" w:color="auto" w:fill="FFFFFF"/>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b/>
          <w:bCs/>
          <w:color w:val="333333"/>
          <w:sz w:val="44"/>
          <w:szCs w:val="44"/>
          <w:shd w:val="clear" w:color="auto" w:fill="FFFFFF"/>
        </w:rPr>
      </w:pPr>
      <w:bookmarkStart w:id="0" w:name="_GoBack"/>
      <w:bookmarkEnd w:id="0"/>
    </w:p>
    <w:p>
      <w:pPr>
        <w:spacing w:line="560" w:lineRule="exact"/>
        <w:ind w:firstLine="640" w:firstLineChars="200"/>
        <w:rPr>
          <w:rFonts w:ascii="Times New Roman" w:hAnsi="Times New Roman" w:eastAsia="黑体"/>
          <w:kern w:val="0"/>
          <w:sz w:val="32"/>
          <w:szCs w:val="32"/>
        </w:rPr>
      </w:pPr>
      <w:r>
        <w:rPr>
          <w:rFonts w:ascii="Times New Roman" w:hAnsi="Times New Roman" w:eastAsia="黑体" w:cs="Times New Roman"/>
          <w:kern w:val="0"/>
          <w:sz w:val="32"/>
          <w:szCs w:val="32"/>
        </w:rPr>
        <w:t>一、基本情况</w:t>
      </w:r>
    </w:p>
    <w:p>
      <w:pPr>
        <w:spacing w:line="560" w:lineRule="exact"/>
        <w:ind w:firstLine="640" w:firstLineChars="200"/>
        <w:rPr>
          <w:rStyle w:val="5"/>
          <w:rFonts w:ascii="Times New Roman" w:hAnsi="Times New Roman" w:eastAsia="仿宋_GB2312"/>
          <w:w w:val="95"/>
          <w:kern w:val="0"/>
          <w:sz w:val="32"/>
          <w:szCs w:val="32"/>
        </w:rPr>
      </w:pPr>
      <w:r>
        <w:rPr>
          <w:rFonts w:ascii="Times New Roman" w:hAnsi="Times New Roman" w:eastAsia="仿宋_GB2312" w:cs="Times New Roman"/>
          <w:kern w:val="0"/>
          <w:sz w:val="32"/>
          <w:szCs w:val="32"/>
        </w:rPr>
        <w:t>2019年5月9日，中共中央、国务院</w:t>
      </w:r>
      <w:r>
        <w:rPr>
          <w:rStyle w:val="5"/>
          <w:rFonts w:ascii="Times New Roman" w:hAnsi="Times New Roman" w:eastAsia="仿宋_GB2312" w:cs="Times New Roman"/>
          <w:kern w:val="0"/>
          <w:sz w:val="32"/>
          <w:szCs w:val="32"/>
        </w:rPr>
        <w:t>印发了</w:t>
      </w:r>
      <w:r>
        <w:rPr>
          <w:rFonts w:ascii="Times New Roman" w:hAnsi="Times New Roman" w:eastAsia="仿宋_GB2312" w:cs="Times New Roman"/>
          <w:kern w:val="0"/>
          <w:sz w:val="32"/>
          <w:szCs w:val="32"/>
        </w:rPr>
        <w:t>《关于建立国土空间规划体系并监督实施的若干意见》（中发〔2019〕18号），</w:t>
      </w:r>
      <w:r>
        <w:rPr>
          <w:rStyle w:val="5"/>
          <w:rFonts w:ascii="Times New Roman" w:hAnsi="Times New Roman" w:eastAsia="仿宋_GB2312" w:cs="Times New Roman"/>
          <w:kern w:val="0"/>
          <w:sz w:val="32"/>
          <w:szCs w:val="32"/>
        </w:rPr>
        <w:t>要求全国各地要建立国土空间规划体系并监督实施，将主体功能区规划、土地利用规划、城乡规划等空间规划融合为统一的国土空间规划，实现“多规合一”。</w:t>
      </w:r>
      <w:r>
        <w:rPr>
          <w:rFonts w:hint="eastAsia" w:ascii="仿宋_GB2312" w:hAnsi="仿宋_GB2312" w:eastAsia="仿宋_GB2312" w:cs="仿宋_GB2312"/>
          <w:sz w:val="32"/>
          <w:szCs w:val="32"/>
        </w:rPr>
        <w:t>为落实“多规合一”改革要求，按照国家、云南省和楚雄州部署要求，</w:t>
      </w:r>
      <w:r>
        <w:rPr>
          <w:rFonts w:hint="eastAsia" w:ascii="仿宋_GB2312" w:hAnsi="仿宋_GB2312" w:eastAsia="仿宋_GB2312" w:cs="仿宋_GB2312"/>
          <w:sz w:val="32"/>
          <w:szCs w:val="32"/>
          <w:lang w:eastAsia="zh-CN"/>
        </w:rPr>
        <w:t>元谋</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eastAsia="zh-CN"/>
        </w:rPr>
        <w:t>平田乡</w:t>
      </w:r>
      <w:r>
        <w:rPr>
          <w:rFonts w:hint="eastAsia" w:ascii="仿宋_GB2312" w:hAnsi="仿宋_GB2312" w:eastAsia="仿宋_GB2312" w:cs="仿宋_GB2312"/>
          <w:sz w:val="32"/>
          <w:szCs w:val="32"/>
        </w:rPr>
        <w:t>国土空间</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规划( 2021-2035年)》(以下简称《规划》)</w:t>
      </w:r>
      <w:r>
        <w:rPr>
          <w:rFonts w:hint="eastAsia" w:ascii="仿宋_GB2312" w:hAnsi="仿宋_GB2312" w:eastAsia="仿宋_GB2312" w:cs="仿宋_GB2312"/>
          <w:sz w:val="32"/>
          <w:szCs w:val="32"/>
          <w:lang w:eastAsia="zh-CN"/>
        </w:rPr>
        <w:t>。</w:t>
      </w:r>
    </w:p>
    <w:p>
      <w:pPr>
        <w:pStyle w:val="2"/>
        <w:spacing w:before="0" w:beforeAutospacing="0" w:after="0" w:afterAutospacing="0" w:line="560" w:lineRule="exact"/>
        <w:ind w:firstLine="645"/>
        <w:jc w:val="both"/>
        <w:rPr>
          <w:rFonts w:ascii="微软雅黑" w:hAnsi="微软雅黑" w:eastAsia="微软雅黑"/>
          <w:color w:val="727272"/>
          <w:sz w:val="21"/>
          <w:szCs w:val="21"/>
        </w:rPr>
      </w:pPr>
      <w:r>
        <w:rPr>
          <w:rFonts w:hint="eastAsia" w:ascii="方正黑体简体" w:hAnsi="微软雅黑" w:eastAsia="方正黑体简体"/>
          <w:color w:val="727272"/>
          <w:sz w:val="32"/>
          <w:szCs w:val="32"/>
        </w:rPr>
        <w:t>二、</w:t>
      </w:r>
      <w:r>
        <w:rPr>
          <w:rFonts w:hint="eastAsia" w:ascii="黑体" w:hAnsi="黑体" w:eastAsia="黑体"/>
          <w:color w:val="000000"/>
          <w:sz w:val="32"/>
          <w:szCs w:val="32"/>
        </w:rPr>
        <w:t>国土空间规划编制工作思路</w:t>
      </w:r>
    </w:p>
    <w:p>
      <w:pPr>
        <w:spacing w:line="560" w:lineRule="exact"/>
        <w:ind w:firstLine="640" w:firstLineChars="200"/>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（一）强化国土空间规划引领。</w:t>
      </w:r>
      <w:r>
        <w:rPr>
          <w:rFonts w:hint="eastAsia" w:ascii="Times New Roman" w:hAnsi="Times New Roman" w:eastAsia="仿宋_GB2312" w:cs="Times New Roman"/>
          <w:kern w:val="0"/>
          <w:sz w:val="32"/>
          <w:szCs w:val="32"/>
        </w:rPr>
        <w:t>在规划编制中认真贯彻落实总书记关于国土空间规划重要讲话和指示批示精神，强化底线思维和红线意识，加强前瞻性思考、全局性谋划、战略性布局，统筹保护与开发，着力优化生态、生产、生活布局，科学划定“三条控制线</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，高标准、高质量编制好国土空间规划，为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十四五</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经济社会高质量发展预留空间、创造条件。</w:t>
      </w:r>
    </w:p>
    <w:p>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kern w:val="0"/>
          <w:sz w:val="32"/>
          <w:szCs w:val="32"/>
        </w:rPr>
        <w:t>（二）落实上位规划要求。</w:t>
      </w:r>
      <w:r>
        <w:rPr>
          <w:rFonts w:hint="eastAsia" w:ascii="Times New Roman" w:hAnsi="Times New Roman" w:eastAsia="仿宋_GB2312" w:cs="Times New Roman"/>
          <w:kern w:val="0"/>
          <w:sz w:val="32"/>
          <w:szCs w:val="32"/>
          <w:lang w:eastAsia="zh-CN"/>
        </w:rPr>
        <w:t>针对</w:t>
      </w:r>
      <w:r>
        <w:rPr>
          <w:rFonts w:hint="eastAsia" w:ascii="Times New Roman" w:hAnsi="Times New Roman" w:eastAsia="仿宋_GB2312" w:cs="Times New Roman"/>
          <w:kern w:val="0"/>
          <w:sz w:val="32"/>
          <w:szCs w:val="32"/>
        </w:rPr>
        <w:t>县级国土空间规划中对本乡镇的具体要求一一解读分析，并结合乡镇实际情况，化解冲突，精准确定乡镇定位。在上位规划确定的“三区三线”、国土空间开发保护格局、用途管制分区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资源环境承载力和国土空间开发适宜性评价、国土空间开发保护现状及风险评估的基础上，识别全</w:t>
      </w:r>
      <w:r>
        <w:rPr>
          <w:rFonts w:hint="eastAsia" w:ascii="Times New Roman" w:hAnsi="Times New Roman" w:eastAsia="仿宋_GB2312" w:cs="Times New Roman"/>
          <w:kern w:val="0"/>
          <w:sz w:val="32"/>
          <w:szCs w:val="32"/>
          <w:lang w:eastAsia="zh-CN"/>
        </w:rPr>
        <w:t>乡</w:t>
      </w:r>
      <w:r>
        <w:rPr>
          <w:rFonts w:hint="default" w:ascii="Times New Roman" w:hAnsi="Times New Roman" w:eastAsia="仿宋_GB2312" w:cs="Times New Roman"/>
          <w:kern w:val="0"/>
          <w:sz w:val="32"/>
          <w:szCs w:val="32"/>
        </w:rPr>
        <w:t>国土空间本地条件和资源特征，落实国家、省、州、县级的重大区域战略布局和主体功能分区；加强自然和人文要素保护利用；完善基础设施支撑体系；制定国土空间整治和生态修复任务；优化中心镇区空间布局；提出规划传导指引和近期建设计划，完善规划实施保障机制。</w:t>
      </w:r>
    </w:p>
    <w:p>
      <w:pPr>
        <w:pStyle w:val="2"/>
        <w:spacing w:before="0" w:beforeAutospacing="0" w:after="0" w:afterAutospacing="0" w:line="560" w:lineRule="exact"/>
        <w:ind w:firstLine="630"/>
        <w:jc w:val="both"/>
        <w:rPr>
          <w:rFonts w:ascii="黑体" w:hAnsi="黑体" w:eastAsia="黑体"/>
          <w:color w:val="000000"/>
          <w:sz w:val="32"/>
          <w:szCs w:val="3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平田乡</w:t>
      </w:r>
      <w:r>
        <w:rPr>
          <w:rFonts w:hint="eastAsia" w:ascii="黑体" w:hAnsi="黑体" w:eastAsia="黑体"/>
          <w:color w:val="000000"/>
          <w:sz w:val="32"/>
          <w:szCs w:val="32"/>
        </w:rPr>
        <w:t>国土空间</w:t>
      </w:r>
      <w:r>
        <w:rPr>
          <w:rFonts w:hint="eastAsia" w:ascii="黑体" w:hAnsi="黑体" w:eastAsia="黑体"/>
          <w:color w:val="000000"/>
          <w:sz w:val="32"/>
          <w:szCs w:val="32"/>
          <w:lang w:eastAsia="zh-CN"/>
        </w:rPr>
        <w:t>总体</w:t>
      </w:r>
      <w:r>
        <w:rPr>
          <w:rFonts w:hint="eastAsia" w:ascii="黑体" w:hAnsi="黑体" w:eastAsia="黑体"/>
          <w:color w:val="000000"/>
          <w:sz w:val="32"/>
          <w:szCs w:val="32"/>
        </w:rPr>
        <w:t>规划( 2021-2035年)》公众征求意见</w:t>
      </w:r>
      <w:r>
        <w:rPr>
          <w:rFonts w:hint="eastAsia" w:ascii="黑体" w:hAnsi="黑体" w:eastAsia="黑体"/>
          <w:color w:val="000000"/>
          <w:sz w:val="32"/>
          <w:szCs w:val="32"/>
          <w:lang w:eastAsia="zh-CN"/>
        </w:rPr>
        <w:t>稿</w:t>
      </w:r>
      <w:r>
        <w:rPr>
          <w:rFonts w:hint="eastAsia" w:ascii="黑体" w:hAnsi="黑体" w:eastAsia="黑体"/>
          <w:color w:val="000000"/>
          <w:sz w:val="32"/>
          <w:szCs w:val="32"/>
        </w:rPr>
        <w:t>主要内容</w:t>
      </w:r>
    </w:p>
    <w:p>
      <w:pPr>
        <w:spacing w:line="560" w:lineRule="exact"/>
        <w:ind w:firstLine="640" w:firstLineChars="200"/>
        <w:rPr>
          <w:rFonts w:ascii="Times New Roman" w:hAnsi="Times New Roman" w:eastAsia="仿宋_GB2312"/>
          <w:kern w:val="0"/>
          <w:sz w:val="32"/>
          <w:szCs w:val="32"/>
        </w:rPr>
      </w:pPr>
      <w:r>
        <w:rPr>
          <w:rFonts w:hint="default" w:ascii="Times New Roman" w:hAnsi="Times New Roman" w:eastAsia="仿宋_GB2312" w:cs="Times New Roman"/>
          <w:kern w:val="0"/>
          <w:sz w:val="32"/>
          <w:szCs w:val="32"/>
        </w:rPr>
        <w:t>《规划》是对</w:t>
      </w:r>
      <w:r>
        <w:rPr>
          <w:rFonts w:hint="eastAsia" w:ascii="Times New Roman" w:hAnsi="Times New Roman" w:eastAsia="仿宋_GB2312" w:cs="Times New Roman"/>
          <w:kern w:val="0"/>
          <w:sz w:val="32"/>
          <w:szCs w:val="32"/>
          <w:lang w:eastAsia="zh-CN"/>
        </w:rPr>
        <w:t>平田乡</w:t>
      </w:r>
      <w:r>
        <w:rPr>
          <w:rFonts w:hint="default" w:ascii="Times New Roman" w:hAnsi="Times New Roman" w:eastAsia="仿宋_GB2312" w:cs="Times New Roman"/>
          <w:kern w:val="0"/>
          <w:sz w:val="32"/>
          <w:szCs w:val="32"/>
        </w:rPr>
        <w:t>全域国土开发做出的具体安排，是指导城乡各类开发建设活动、开展国土资源保护利用与修复、制定空间发展政策和实施国土空间规划管理的空间蓝图，是编制城镇开发边界内详细规划和边界外实用性村庄规划的依据，也是开展全域国土空间保护开发活动、实施国土空间用途管制、核发乡村建设规划许可、进行各项建设等的法定依据。</w:t>
      </w:r>
      <w:r>
        <w:rPr>
          <w:rFonts w:ascii="Times New Roman" w:hAnsi="Times New Roman" w:eastAsia="仿宋_GB2312" w:cs="Times New Roman"/>
          <w:kern w:val="0"/>
          <w:sz w:val="32"/>
          <w:szCs w:val="32"/>
        </w:rPr>
        <w:t>《规划》主要内容为：</w:t>
      </w:r>
    </w:p>
    <w:p>
      <w:pPr>
        <w:numPr>
          <w:ilvl w:val="0"/>
          <w:numId w:val="1"/>
        </w:numPr>
        <w:spacing w:line="560" w:lineRule="exact"/>
        <w:ind w:firstLine="640" w:firstLineChars="200"/>
        <w:rPr>
          <w:rFonts w:hint="default" w:ascii="Times New Roman" w:hAnsi="Times New Roman" w:eastAsia="仿宋_GB2312" w:cs="Times New Roman"/>
          <w:kern w:val="0"/>
          <w:sz w:val="32"/>
          <w:szCs w:val="32"/>
        </w:rPr>
      </w:pPr>
      <w:r>
        <w:rPr>
          <w:rFonts w:ascii="Times New Roman" w:hAnsi="Times New Roman" w:eastAsia="楷体_GB2312" w:cs="Times New Roman"/>
          <w:kern w:val="0"/>
          <w:sz w:val="32"/>
          <w:szCs w:val="32"/>
        </w:rPr>
        <w:t>规划范围</w:t>
      </w:r>
      <w:r>
        <w:rPr>
          <w:rFonts w:hint="default" w:ascii="Times New Roman" w:hAnsi="Times New Roman" w:eastAsia="仿宋_GB2312" w:cs="Times New Roman"/>
          <w:kern w:val="0"/>
          <w:sz w:val="32"/>
          <w:szCs w:val="32"/>
        </w:rPr>
        <w:t>：规划范围为平田乡行政辖区，下辖平田、华竹、班果、新昌、新康5个村委会。</w:t>
      </w:r>
    </w:p>
    <w:p>
      <w:pPr>
        <w:numPr>
          <w:ilvl w:val="0"/>
          <w:numId w:val="0"/>
        </w:numPr>
        <w:spacing w:line="560" w:lineRule="exact"/>
        <w:ind w:firstLine="640" w:firstLineChars="200"/>
        <w:rPr>
          <w:rFonts w:hint="default" w:ascii="Times New Roman" w:hAnsi="Times New Roman" w:eastAsia="仿宋_GB2312" w:cs="Times New Roman"/>
          <w:kern w:val="0"/>
          <w:sz w:val="32"/>
          <w:szCs w:val="32"/>
        </w:rPr>
      </w:pPr>
      <w:r>
        <w:rPr>
          <w:rFonts w:ascii="Times New Roman" w:hAnsi="Times New Roman" w:eastAsia="楷体_GB2312" w:cs="Times New Roman"/>
          <w:kern w:val="0"/>
          <w:sz w:val="32"/>
          <w:szCs w:val="32"/>
        </w:rPr>
        <w:t>（二）规划期限</w:t>
      </w:r>
      <w:r>
        <w:rPr>
          <w:rFonts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规划期限为2021—2035年，基期年为2020年，近期目标年为2025年，规划目标年为2035年，远景展望至2050年。</w:t>
      </w:r>
    </w:p>
    <w:p>
      <w:pPr>
        <w:pStyle w:val="6"/>
        <w:numPr>
          <w:ilvl w:val="0"/>
          <w:numId w:val="0"/>
        </w:numPr>
        <w:spacing w:line="560" w:lineRule="exact"/>
        <w:ind w:firstLine="640" w:firstLineChars="200"/>
        <w:jc w:val="both"/>
        <w:rPr>
          <w:rFonts w:hint="default" w:ascii="Times New Roman" w:hAnsi="Times New Roman" w:eastAsia="仿宋_GB2312" w:cs="Times New Roman"/>
          <w:color w:val="auto"/>
          <w:kern w:val="0"/>
          <w:sz w:val="32"/>
          <w:szCs w:val="32"/>
          <w:lang w:val="en-US" w:eastAsia="zh-CN" w:bidi="ar-SA"/>
          <w14:ligatures w14:val="standardContextual"/>
        </w:rPr>
      </w:pPr>
      <w:r>
        <w:rPr>
          <w:rStyle w:val="5"/>
          <w:rFonts w:hint="default" w:ascii="Times New Roman" w:hAnsi="Times New Roman" w:eastAsia="仿宋_GB2312"/>
          <w:color w:val="auto"/>
          <w:sz w:val="32"/>
          <w:szCs w:val="32"/>
        </w:rPr>
        <w:t xml:space="preserve"> </w:t>
      </w:r>
      <w:r>
        <w:rPr>
          <w:rFonts w:hint="default" w:ascii="Times New Roman" w:hAnsi="Times New Roman" w:eastAsia="楷体_GB2312"/>
          <w:color w:val="auto"/>
          <w:sz w:val="32"/>
          <w:szCs w:val="32"/>
        </w:rPr>
        <w:t>（三）发展定位：</w:t>
      </w:r>
      <w:r>
        <w:rPr>
          <w:rFonts w:hint="default" w:ascii="Times New Roman" w:hAnsi="Times New Roman" w:eastAsia="仿宋_GB2312" w:cs="Times New Roman"/>
          <w:color w:val="auto"/>
          <w:kern w:val="0"/>
          <w:sz w:val="32"/>
          <w:szCs w:val="32"/>
          <w:lang w:val="en-US" w:eastAsia="zh-CN" w:bidi="ar-SA"/>
          <w14:ligatures w14:val="standardContextual"/>
        </w:rPr>
        <w:t>充分发挥平田区位、产业、交通、文化等优势，依托元谋打造“五个强县”、擦亮“四张名片”的战略定位，将平田打造为 高原生态农业体验区、土林观光旅游带、矿产品生产加工基地。</w:t>
      </w:r>
    </w:p>
    <w:p>
      <w:pPr>
        <w:pStyle w:val="6"/>
        <w:numPr>
          <w:ilvl w:val="0"/>
          <w:numId w:val="0"/>
        </w:numPr>
        <w:spacing w:line="560" w:lineRule="exact"/>
        <w:ind w:firstLine="640" w:firstLineChars="200"/>
        <w:jc w:val="both"/>
        <w:rPr>
          <w:rFonts w:hint="default" w:ascii="Times New Roman" w:hAnsi="Times New Roman" w:eastAsia="仿宋_GB2312" w:cs="Times New Roman"/>
          <w:color w:val="auto"/>
          <w:kern w:val="0"/>
          <w:sz w:val="32"/>
          <w:szCs w:val="32"/>
          <w:lang w:val="en-US" w:eastAsia="zh-CN" w:bidi="ar-SA"/>
          <w14:ligatures w14:val="standardContextual"/>
        </w:rPr>
      </w:pPr>
      <w:r>
        <w:rPr>
          <w:rFonts w:hint="default" w:ascii="Times New Roman" w:hAnsi="Times New Roman" w:eastAsia="楷体_GB2312"/>
          <w:color w:val="auto"/>
          <w:sz w:val="32"/>
          <w:szCs w:val="32"/>
        </w:rPr>
        <w:t>（</w:t>
      </w:r>
      <w:r>
        <w:rPr>
          <w:rFonts w:hint="eastAsia" w:ascii="Times New Roman" w:hAnsi="Times New Roman" w:eastAsia="楷体_GB2312"/>
          <w:color w:val="auto"/>
          <w:sz w:val="32"/>
          <w:szCs w:val="32"/>
          <w:lang w:eastAsia="zh-CN"/>
        </w:rPr>
        <w:t>四</w:t>
      </w:r>
      <w:r>
        <w:rPr>
          <w:rFonts w:hint="default" w:ascii="Times New Roman" w:hAnsi="Times New Roman" w:eastAsia="楷体_GB2312"/>
          <w:color w:val="auto"/>
          <w:sz w:val="32"/>
          <w:szCs w:val="32"/>
        </w:rPr>
        <w:t>）规划总体目标</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SA"/>
          <w14:ligatures w14:val="standardContextual"/>
        </w:rPr>
        <w:t>到2025年，国土空间开发保护新格局初具雏形，以生态保护红线、自然保护地体系为主体的生态空间格局形成，农业空间优化提质，耕地和基本农田保护有效，绿色生态产业实现规模与效益同步提升；蔬菜水果等产业结构不断优化升级，公共服务全面提升，基础设施完备，人居环境有效改善。</w:t>
      </w:r>
    </w:p>
    <w:p>
      <w:pPr>
        <w:pStyle w:val="6"/>
        <w:numPr>
          <w:ilvl w:val="0"/>
          <w:numId w:val="0"/>
        </w:numPr>
        <w:spacing w:line="560" w:lineRule="exact"/>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default" w:ascii="Times New Roman" w:hAnsi="Times New Roman" w:eastAsia="仿宋_GB2312" w:cs="Times New Roman"/>
          <w:color w:val="auto"/>
          <w:kern w:val="0"/>
          <w:sz w:val="32"/>
          <w:szCs w:val="32"/>
          <w:lang w:val="en-US" w:eastAsia="zh-CN" w:bidi="ar-SA"/>
          <w14:ligatures w14:val="standardContextual"/>
        </w:rPr>
        <w:t>到2035年，国土空间开发保护格局基本稳定。国土空间新格局成为乡镇生态高水平保护、产业高质量发展的重要支撑，空间治理体系和治理能力现代化基本实现。美丽乡村基本建成，城乡融合、产业发展进入新阶段，生态保护、环境质量、资源利用等走在全县前列</w:t>
      </w:r>
      <w:r>
        <w:rPr>
          <w:rFonts w:hint="eastAsia" w:ascii="Times New Roman" w:hAnsi="Times New Roman" w:eastAsia="仿宋_GB2312" w:cs="Times New Roman"/>
          <w:color w:val="auto"/>
          <w:kern w:val="0"/>
          <w:sz w:val="32"/>
          <w:szCs w:val="32"/>
          <w:lang w:val="en-US" w:eastAsia="zh-CN" w:bidi="ar-SA"/>
          <w14:ligatures w14:val="standardContextual"/>
        </w:rPr>
        <w:t>。</w:t>
      </w:r>
    </w:p>
    <w:p>
      <w:pPr>
        <w:pStyle w:val="6"/>
        <w:numPr>
          <w:ilvl w:val="0"/>
          <w:numId w:val="2"/>
        </w:num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eastAsia" w:ascii="Times New Roman" w:hAnsi="Times New Roman" w:eastAsia="楷体_GB2312"/>
          <w:color w:val="auto"/>
          <w:sz w:val="32"/>
          <w:szCs w:val="32"/>
          <w:lang w:val="en-US" w:eastAsia="zh-CN"/>
        </w:rPr>
        <w:t>优化国土空间规划分区、强化空间底线管控：</w:t>
      </w:r>
      <w:r>
        <w:rPr>
          <w:rFonts w:hint="eastAsia" w:ascii="Times New Roman" w:hAnsi="Times New Roman" w:eastAsia="仿宋_GB2312" w:cs="Times New Roman"/>
          <w:color w:val="auto"/>
          <w:kern w:val="0"/>
          <w:sz w:val="32"/>
          <w:szCs w:val="32"/>
          <w:lang w:val="en-US" w:eastAsia="zh-CN" w:bidi="ar-SA"/>
          <w14:ligatures w14:val="standardContextual"/>
        </w:rPr>
        <w:t>落实区域发展战略、主体功能区战略、新型城镇化战略和城市战略定位，强化永久基本农田、生态保护红线、城镇开发边界、村庄建设边界底线管控，划分国土空间规划分区，制定管控规则。</w:t>
      </w:r>
    </w:p>
    <w:p>
      <w:pPr>
        <w:pStyle w:val="6"/>
        <w:numPr>
          <w:ilvl w:val="0"/>
          <w:numId w:val="2"/>
        </w:num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eastAsia" w:ascii="Times New Roman" w:hAnsi="Times New Roman" w:eastAsia="楷体_GB2312"/>
          <w:color w:val="auto"/>
          <w:sz w:val="32"/>
          <w:szCs w:val="32"/>
          <w:lang w:val="en-US" w:eastAsia="zh-CN"/>
        </w:rPr>
        <w:t>资源保护与利用：</w:t>
      </w:r>
      <w:r>
        <w:rPr>
          <w:rFonts w:hint="eastAsia" w:ascii="Times New Roman" w:hAnsi="Times New Roman" w:eastAsia="仿宋_GB2312" w:cs="Times New Roman"/>
          <w:color w:val="auto"/>
          <w:kern w:val="0"/>
          <w:sz w:val="32"/>
          <w:szCs w:val="32"/>
          <w:lang w:val="en-US" w:eastAsia="zh-CN" w:bidi="ar-SA"/>
          <w14:ligatures w14:val="standardContextual"/>
        </w:rPr>
        <w:t>落实上位规划确定的耕地、林草、水、能矿及历史文化资源保护相关要求，做好资源保护与利用工作。</w:t>
      </w:r>
    </w:p>
    <w:p>
      <w:pPr>
        <w:spacing w:beforeLines="0" w:afterLines="0"/>
        <w:ind w:firstLine="640" w:firstLineChars="200"/>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s="Times New Roman"/>
          <w:color w:val="auto"/>
          <w:kern w:val="0"/>
          <w:sz w:val="32"/>
          <w:szCs w:val="32"/>
          <w:lang w:val="en-US" w:eastAsia="zh-CN" w:bidi="ar-SA"/>
          <w14:ligatures w14:val="standardContextual"/>
        </w:rPr>
        <w:t>（七）</w:t>
      </w:r>
      <w:r>
        <w:rPr>
          <w:rFonts w:hint="eastAsia" w:ascii="Times New Roman" w:hAnsi="Times New Roman" w:eastAsia="楷体_GB2312"/>
          <w:color w:val="auto"/>
          <w:sz w:val="32"/>
          <w:szCs w:val="32"/>
          <w:lang w:val="en-US" w:eastAsia="zh-CN"/>
        </w:rPr>
        <w:t>统筹镇村发展体系：</w:t>
      </w:r>
      <w:r>
        <w:rPr>
          <w:rFonts w:hint="eastAsia" w:ascii="Times New Roman" w:hAnsi="Times New Roman" w:eastAsia="仿宋_GB2312" w:cs="Times New Roman"/>
          <w:color w:val="auto"/>
          <w:kern w:val="0"/>
          <w:sz w:val="32"/>
          <w:szCs w:val="32"/>
          <w:lang w:val="en-US" w:eastAsia="zh-CN" w:bidi="ar-SA"/>
          <w14:ligatures w14:val="standardContextual"/>
        </w:rPr>
        <w:t>在强化中心村发展的同时，以“促进优势村庄发展、推进多极联动”为目标，差异化引导乡域村庄发展，构建“重点镇—中心村—一般村”的三级镇村等级结构。形成1个重点乡、2个中心村、3个一般村，不断提升中心村发展效能，兼顾发展一般村，构建全域发展新格局。</w:t>
      </w:r>
      <w:r>
        <w:rPr>
          <w:rFonts w:hint="default" w:ascii="Times New Roman" w:hAnsi="Times New Roman" w:eastAsia="仿宋_GB2312"/>
          <w:color w:val="auto"/>
          <w:sz w:val="32"/>
          <w:szCs w:val="32"/>
          <w:lang w:val="en-US" w:eastAsia="zh-CN"/>
        </w:rPr>
        <w:t>顺应村庄发展规律和演变趋势，突出分类引导，根据发展现状、区位条件、资源禀赋，按照集聚发展、整治提升2类推进村庄建设。平田乡共5个行政村，其中集聚发展类2个，整治提升类3个。构建“一</w:t>
      </w:r>
      <w:r>
        <w:rPr>
          <w:rFonts w:hint="eastAsia" w:ascii="Times New Roman" w:hAnsi="Times New Roman" w:eastAsia="仿宋_GB2312"/>
          <w:color w:val="auto"/>
          <w:sz w:val="32"/>
          <w:szCs w:val="32"/>
          <w:lang w:val="en-US" w:eastAsia="zh-CN"/>
        </w:rPr>
        <w:t>核、</w:t>
      </w:r>
      <w:r>
        <w:rPr>
          <w:rFonts w:hint="default" w:ascii="Times New Roman" w:hAnsi="Times New Roman" w:eastAsia="仿宋_GB2312"/>
          <w:color w:val="auto"/>
          <w:sz w:val="32"/>
          <w:szCs w:val="32"/>
          <w:lang w:val="en-US" w:eastAsia="zh-CN"/>
        </w:rPr>
        <w:t>一</w:t>
      </w:r>
      <w:r>
        <w:rPr>
          <w:rFonts w:hint="eastAsia" w:ascii="Times New Roman" w:hAnsi="Times New Roman" w:eastAsia="仿宋_GB2312"/>
          <w:color w:val="auto"/>
          <w:sz w:val="32"/>
          <w:szCs w:val="32"/>
          <w:lang w:val="en-US" w:eastAsia="zh-CN"/>
        </w:rPr>
        <w:t>带、三</w:t>
      </w:r>
      <w:r>
        <w:rPr>
          <w:rFonts w:hint="default" w:ascii="Times New Roman" w:hAnsi="Times New Roman" w:eastAsia="仿宋_GB2312"/>
          <w:color w:val="auto"/>
          <w:sz w:val="32"/>
          <w:szCs w:val="32"/>
          <w:lang w:val="en-US" w:eastAsia="zh-CN"/>
        </w:rPr>
        <w:t>区”的产业空间布局</w:t>
      </w:r>
      <w:r>
        <w:rPr>
          <w:rFonts w:hint="eastAsia" w:ascii="Times New Roman" w:hAnsi="Times New Roman" w:eastAsia="仿宋_GB2312"/>
          <w:color w:val="auto"/>
          <w:sz w:val="32"/>
          <w:szCs w:val="32"/>
          <w:lang w:val="en-US" w:eastAsia="zh-CN"/>
        </w:rPr>
        <w:t>。一核：</w:t>
      </w:r>
      <w:r>
        <w:rPr>
          <w:rFonts w:hint="default" w:ascii="Times New Roman" w:hAnsi="Times New Roman" w:eastAsia="仿宋_GB2312"/>
          <w:color w:val="auto"/>
          <w:sz w:val="32"/>
          <w:szCs w:val="32"/>
          <w:lang w:val="en-US" w:eastAsia="zh-CN"/>
        </w:rPr>
        <w:t>集镇区综合产业发展核心</w:t>
      </w:r>
      <w:r>
        <w:rPr>
          <w:rFonts w:hint="eastAsia" w:ascii="Times New Roman" w:hAnsi="Times New Roman" w:eastAsia="仿宋_GB2312"/>
          <w:color w:val="auto"/>
          <w:sz w:val="32"/>
          <w:szCs w:val="32"/>
          <w:lang w:val="en-US" w:eastAsia="zh-CN"/>
        </w:rPr>
        <w:t>。一带：</w:t>
      </w:r>
      <w:r>
        <w:rPr>
          <w:rFonts w:hint="default" w:ascii="Times New Roman" w:hAnsi="Times New Roman" w:eastAsia="仿宋_GB2312"/>
          <w:color w:val="auto"/>
          <w:sz w:val="32"/>
          <w:szCs w:val="32"/>
          <w:lang w:val="en-US" w:eastAsia="zh-CN"/>
        </w:rPr>
        <w:t>省道沿线绿色经济发展产业带</w:t>
      </w:r>
      <w:r>
        <w:rPr>
          <w:rFonts w:hint="eastAsia" w:ascii="Times New Roman" w:hAnsi="Times New Roman" w:eastAsia="仿宋_GB2312"/>
          <w:color w:val="auto"/>
          <w:sz w:val="32"/>
          <w:szCs w:val="32"/>
          <w:lang w:val="en-US" w:eastAsia="zh-CN"/>
        </w:rPr>
        <w:t>。三区：</w:t>
      </w:r>
      <w:r>
        <w:rPr>
          <w:rFonts w:hint="default" w:ascii="Times New Roman" w:hAnsi="Times New Roman" w:eastAsia="仿宋_GB2312"/>
          <w:color w:val="auto"/>
          <w:sz w:val="32"/>
          <w:szCs w:val="32"/>
          <w:lang w:val="en-US" w:eastAsia="zh-CN"/>
        </w:rPr>
        <w:t>土林观光旅游片区、矿产品生产加工片区、高原生态蔬果农业体验区</w:t>
      </w:r>
      <w:r>
        <w:rPr>
          <w:rFonts w:hint="eastAsia" w:ascii="Times New Roman" w:hAnsi="Times New Roman" w:eastAsia="仿宋_GB2312"/>
          <w:color w:val="auto"/>
          <w:sz w:val="32"/>
          <w:szCs w:val="32"/>
          <w:lang w:val="en-US" w:eastAsia="zh-CN"/>
        </w:rPr>
        <w:t>。</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（八）</w:t>
      </w:r>
      <w:r>
        <w:rPr>
          <w:rFonts w:hint="eastAsia" w:ascii="Times New Roman" w:hAnsi="Times New Roman" w:eastAsia="楷体_GB2312" w:cstheme="minorBidi"/>
          <w:color w:val="auto"/>
          <w:kern w:val="2"/>
          <w:sz w:val="32"/>
          <w:szCs w:val="32"/>
          <w:lang w:val="en-US" w:eastAsia="zh-CN" w:bidi="ar-SA"/>
          <w14:ligatures w14:val="standardContextual"/>
        </w:rPr>
        <w:t>完善多元配套设施：</w:t>
      </w:r>
      <w:r>
        <w:rPr>
          <w:rFonts w:hint="eastAsia" w:ascii="Times New Roman" w:hAnsi="Times New Roman" w:eastAsia="仿宋_GB2312"/>
          <w:color w:val="auto"/>
          <w:sz w:val="32"/>
          <w:szCs w:val="32"/>
          <w:lang w:val="en-US" w:eastAsia="zh-CN"/>
        </w:rPr>
        <w:t>落实区域重大交通设施和干线公路布局，加强区域性道路建设，积极融入区域发展，构建内联外通的综合交通体系，提升区域交通安全水平；</w:t>
      </w:r>
      <w:r>
        <w:rPr>
          <w:rFonts w:hint="default" w:ascii="Times New Roman" w:hAnsi="Times New Roman" w:eastAsia="仿宋_GB2312"/>
          <w:color w:val="auto"/>
          <w:sz w:val="32"/>
          <w:szCs w:val="32"/>
          <w:lang w:val="en-US" w:eastAsia="zh-CN"/>
        </w:rPr>
        <w:t>建立覆盖全域的“乡级公共服务中心—乡村社区级服务中心”两个层次的公共服务设施体系，明确不同层次的文化、教育、医疗卫生、体育、社会福利设施和其他设施等公共服务设施配置标准</w:t>
      </w:r>
      <w:r>
        <w:rPr>
          <w:rFonts w:hint="eastAsia" w:ascii="Times New Roman" w:hAnsi="Times New Roman" w:eastAsia="仿宋_GB2312"/>
          <w:color w:val="auto"/>
          <w:sz w:val="32"/>
          <w:szCs w:val="32"/>
          <w:lang w:val="en-US" w:eastAsia="zh-CN"/>
        </w:rPr>
        <w:t>；完善绿色韧性的市政设施体系，建立安全可靠的防灾减灾体系。</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（九）</w:t>
      </w:r>
      <w:r>
        <w:rPr>
          <w:rFonts w:hint="eastAsia" w:ascii="Times New Roman" w:hAnsi="Times New Roman" w:eastAsia="楷体_GB2312" w:cstheme="minorBidi"/>
          <w:color w:val="auto"/>
          <w:kern w:val="2"/>
          <w:sz w:val="32"/>
          <w:szCs w:val="32"/>
          <w:lang w:val="en-US" w:eastAsia="zh-CN" w:bidi="ar-SA"/>
          <w14:ligatures w14:val="standardContextual"/>
        </w:rPr>
        <w:t>生态修复和国土综合整治：</w:t>
      </w:r>
      <w:r>
        <w:rPr>
          <w:rFonts w:hint="eastAsia" w:ascii="Times New Roman" w:hAnsi="Times New Roman" w:eastAsia="仿宋_GB2312"/>
          <w:color w:val="auto"/>
          <w:sz w:val="32"/>
          <w:szCs w:val="32"/>
          <w:lang w:val="en-US" w:eastAsia="zh-CN"/>
        </w:rPr>
        <w:t>加强生态保护修复，开展国土综合整治工作，积极推进矿山环境治理恢复。</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（十）</w:t>
      </w:r>
      <w:r>
        <w:rPr>
          <w:rFonts w:hint="eastAsia" w:ascii="Times New Roman" w:hAnsi="Times New Roman" w:eastAsia="楷体_GB2312" w:cstheme="minorBidi"/>
          <w:color w:val="auto"/>
          <w:kern w:val="2"/>
          <w:sz w:val="32"/>
          <w:szCs w:val="32"/>
          <w:lang w:val="en-US" w:eastAsia="zh-CN" w:bidi="ar-SA"/>
          <w14:ligatures w14:val="standardContextual"/>
        </w:rPr>
        <w:t>优化集镇区空间：</w:t>
      </w:r>
      <w:r>
        <w:rPr>
          <w:rFonts w:hint="eastAsia" w:ascii="Times New Roman" w:hAnsi="Times New Roman" w:eastAsia="仿宋_GB2312"/>
          <w:color w:val="auto"/>
          <w:sz w:val="32"/>
          <w:szCs w:val="32"/>
          <w:lang w:val="en-US" w:eastAsia="zh-CN"/>
        </w:rPr>
        <w:t>构建“一心、一轴、四区”的集镇区功能结构。一心：依托乡政府及周边便民商业等，构成平田乡综合服务中心。一轴：依托主要道路形成带动集镇区发展的集镇发展轴。四区：集贸商业区、居住生活区、文教配套区、行政办公区。构建中心集镇区交通体系，完善中心集镇区公共服务设施。</w:t>
      </w:r>
    </w:p>
    <w:p>
      <w:pPr>
        <w:pStyle w:val="6"/>
        <w:numPr>
          <w:ilvl w:val="0"/>
          <w:numId w:val="0"/>
        </w:numPr>
        <w:spacing w:line="560" w:lineRule="exact"/>
        <w:ind w:firstLine="640" w:firstLineChars="200"/>
        <w:jc w:val="both"/>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（十一）</w:t>
      </w:r>
      <w:r>
        <w:rPr>
          <w:rFonts w:hint="eastAsia" w:ascii="Times New Roman" w:hAnsi="Times New Roman" w:eastAsia="楷体_GB2312" w:cstheme="minorBidi"/>
          <w:color w:val="auto"/>
          <w:kern w:val="2"/>
          <w:sz w:val="32"/>
          <w:szCs w:val="32"/>
          <w:lang w:val="en-US" w:eastAsia="zh-CN" w:bidi="ar-SA"/>
          <w14:ligatures w14:val="standardContextual"/>
        </w:rPr>
        <w:t>规划传导与实施：</w:t>
      </w:r>
      <w:r>
        <w:rPr>
          <w:rFonts w:hint="eastAsia" w:ascii="Times New Roman" w:hAnsi="Times New Roman" w:eastAsia="仿宋_GB2312"/>
          <w:color w:val="auto"/>
          <w:sz w:val="32"/>
          <w:szCs w:val="32"/>
          <w:lang w:val="en-US" w:eastAsia="zh-CN"/>
        </w:rPr>
        <w:t>加强规划实施传导，制定保障措施。</w:t>
      </w: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52C4A"/>
    <w:multiLevelType w:val="singleLevel"/>
    <w:tmpl w:val="BE352C4A"/>
    <w:lvl w:ilvl="0" w:tentative="0">
      <w:start w:val="5"/>
      <w:numFmt w:val="chineseCounting"/>
      <w:suff w:val="nothing"/>
      <w:lvlText w:val="（%1）"/>
      <w:lvlJc w:val="left"/>
      <w:rPr>
        <w:rFonts w:hint="eastAsia"/>
      </w:rPr>
    </w:lvl>
  </w:abstractNum>
  <w:abstractNum w:abstractNumId="1">
    <w:nsid w:val="D420D171"/>
    <w:multiLevelType w:val="singleLevel"/>
    <w:tmpl w:val="D420D1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B3592"/>
    <w:rsid w:val="0BD7234C"/>
    <w:rsid w:val="0CAD7AF4"/>
    <w:rsid w:val="17041C62"/>
    <w:rsid w:val="17E700AE"/>
    <w:rsid w:val="1ACD5C66"/>
    <w:rsid w:val="2206058D"/>
    <w:rsid w:val="2EAC77B5"/>
    <w:rsid w:val="353863D2"/>
    <w:rsid w:val="475668FB"/>
    <w:rsid w:val="4C207BF0"/>
    <w:rsid w:val="4CC01F02"/>
    <w:rsid w:val="5182427D"/>
    <w:rsid w:val="54AC672F"/>
    <w:rsid w:val="5D1C12D3"/>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5">
    <w:name w:val="NormalCharacter"/>
    <w:qFormat/>
    <w:uiPriority w:val="0"/>
  </w:style>
  <w:style w:type="paragraph" w:customStyle="1" w:styleId="6">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kern w:val="0"/>
      <w:sz w:val="24"/>
      <w:szCs w:val="22"/>
      <w:lang w:val="en-US" w:eastAsia="zh-CN" w:bidi="ar-SA"/>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34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2024-07-12T01:51:00Z</dcterms:created>
  <dc:creator>userName</dc:creator>
  <cp:lastModifiedBy>userName</cp:lastModifiedBy>
  <dcterms:modified xsi:type="dcterms:W3CDTF">2024-07-15T00:14:05Z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CF55F26ADF4545CA97FFE4FB2822CD7E</vt:lpwstr>
  </property>
</Properties>
</file>